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F55" w:rsidRPr="00E63FA7" w:rsidRDefault="00DE5F55" w:rsidP="00E63FA7">
      <w:pPr>
        <w:spacing w:after="0"/>
        <w:jc w:val="center"/>
        <w:rPr>
          <w:b/>
        </w:rPr>
      </w:pPr>
      <w:r w:rsidRPr="00E63FA7">
        <w:rPr>
          <w:b/>
        </w:rPr>
        <w:t>Hiller Highlands Phase I Board Meeting</w:t>
      </w:r>
    </w:p>
    <w:p w:rsidR="00DE5F55" w:rsidRDefault="00E35CCE" w:rsidP="00C1151C">
      <w:pPr>
        <w:spacing w:after="0"/>
        <w:jc w:val="center"/>
        <w:rPr>
          <w:b/>
        </w:rPr>
      </w:pPr>
      <w:r>
        <w:rPr>
          <w:b/>
        </w:rPr>
        <w:t>Monday,</w:t>
      </w:r>
      <w:r w:rsidR="00975350">
        <w:rPr>
          <w:b/>
        </w:rPr>
        <w:t xml:space="preserve"> </w:t>
      </w:r>
      <w:r w:rsidR="004A390A">
        <w:rPr>
          <w:b/>
        </w:rPr>
        <w:t>August 18</w:t>
      </w:r>
      <w:r w:rsidR="00CA1419">
        <w:rPr>
          <w:b/>
        </w:rPr>
        <w:t xml:space="preserve">, 2014 – 7:00 </w:t>
      </w:r>
      <w:r w:rsidR="00E03545">
        <w:rPr>
          <w:b/>
        </w:rPr>
        <w:t>pm</w:t>
      </w:r>
      <w:r w:rsidR="00C1151C">
        <w:rPr>
          <w:b/>
        </w:rPr>
        <w:t>/</w:t>
      </w:r>
      <w:r w:rsidR="00DE5F55" w:rsidRPr="00E63FA7">
        <w:rPr>
          <w:b/>
        </w:rPr>
        <w:t>Highlands Country Club</w:t>
      </w:r>
    </w:p>
    <w:p w:rsidR="00DE5F55" w:rsidRDefault="00DE5F55" w:rsidP="00E63FA7">
      <w:pPr>
        <w:spacing w:after="0"/>
        <w:jc w:val="center"/>
        <w:rPr>
          <w:b/>
        </w:rPr>
      </w:pPr>
      <w:r>
        <w:rPr>
          <w:b/>
        </w:rPr>
        <w:t>Minutes of that Meeting</w:t>
      </w:r>
    </w:p>
    <w:p w:rsidR="00C1151C" w:rsidRDefault="00C1151C" w:rsidP="003D390C">
      <w:pPr>
        <w:spacing w:after="0" w:line="240" w:lineRule="auto"/>
        <w:rPr>
          <w:b/>
        </w:rPr>
      </w:pPr>
    </w:p>
    <w:p w:rsidR="00E03545" w:rsidRDefault="00DE5F55" w:rsidP="003D390C">
      <w:pPr>
        <w:spacing w:after="0" w:line="240" w:lineRule="auto"/>
      </w:pPr>
      <w:r w:rsidRPr="004260D4">
        <w:rPr>
          <w:b/>
        </w:rPr>
        <w:t>Present:</w:t>
      </w:r>
      <w:r w:rsidRPr="00E63FA7">
        <w:t xml:space="preserve"> </w:t>
      </w:r>
      <w:r>
        <w:t>Chuck Scurich, Treasurer;</w:t>
      </w:r>
      <w:r w:rsidR="00BA6E38">
        <w:t xml:space="preserve"> Carole Anderson;</w:t>
      </w:r>
      <w:r w:rsidR="00D31295">
        <w:t xml:space="preserve"> Secretary;</w:t>
      </w:r>
      <w:r w:rsidR="004A390A">
        <w:t xml:space="preserve"> and </w:t>
      </w:r>
      <w:r w:rsidR="00BA526C">
        <w:t>Steve</w:t>
      </w:r>
      <w:r w:rsidR="004A390A">
        <w:t>n</w:t>
      </w:r>
      <w:r w:rsidR="00BA526C">
        <w:t xml:space="preserve"> Willoughby, President</w:t>
      </w:r>
      <w:r w:rsidR="0061168B">
        <w:t xml:space="preserve"> </w:t>
      </w:r>
    </w:p>
    <w:p w:rsidR="00BA6E38" w:rsidRDefault="00BA6E38" w:rsidP="003D390C">
      <w:pPr>
        <w:spacing w:after="0" w:line="240" w:lineRule="auto"/>
      </w:pPr>
    </w:p>
    <w:p w:rsidR="00DE5F55" w:rsidRDefault="00DE5F55" w:rsidP="00154362">
      <w:pPr>
        <w:spacing w:after="0" w:line="240" w:lineRule="auto"/>
      </w:pPr>
      <w:r w:rsidRPr="004260D4">
        <w:rPr>
          <w:b/>
        </w:rPr>
        <w:t>Call to Order:</w:t>
      </w:r>
      <w:r>
        <w:t xml:space="preserve">  The mee</w:t>
      </w:r>
      <w:r w:rsidR="00CA1419">
        <w:t>ting was called to order at 7:00</w:t>
      </w:r>
      <w:r>
        <w:t xml:space="preserve"> pm </w:t>
      </w:r>
    </w:p>
    <w:p w:rsidR="00DE5F55" w:rsidRDefault="00DE5F55" w:rsidP="00154362">
      <w:pPr>
        <w:spacing w:after="0" w:line="240" w:lineRule="auto"/>
      </w:pPr>
    </w:p>
    <w:p w:rsidR="00DE5F55" w:rsidRDefault="00DE5F55" w:rsidP="00154362">
      <w:pPr>
        <w:spacing w:after="0" w:line="240" w:lineRule="auto"/>
      </w:pPr>
      <w:r w:rsidRPr="004260D4">
        <w:rPr>
          <w:b/>
        </w:rPr>
        <w:t xml:space="preserve">Approval of </w:t>
      </w:r>
      <w:r w:rsidR="00E03545">
        <w:rPr>
          <w:b/>
        </w:rPr>
        <w:t xml:space="preserve">March </w:t>
      </w:r>
      <w:r w:rsidRPr="004260D4">
        <w:rPr>
          <w:b/>
        </w:rPr>
        <w:t xml:space="preserve">HOA Minutes: </w:t>
      </w:r>
      <w:r>
        <w:rPr>
          <w:b/>
        </w:rPr>
        <w:t xml:space="preserve"> </w:t>
      </w:r>
      <w:r w:rsidR="00BE5139">
        <w:t>T</w:t>
      </w:r>
      <w:r>
        <w:t xml:space="preserve">he minutes of the </w:t>
      </w:r>
      <w:r w:rsidR="00975350">
        <w:t>J</w:t>
      </w:r>
      <w:r w:rsidR="004A390A">
        <w:t>uly 14</w:t>
      </w:r>
      <w:r w:rsidR="00975350">
        <w:t xml:space="preserve"> </w:t>
      </w:r>
      <w:r>
        <w:t xml:space="preserve">HOA </w:t>
      </w:r>
      <w:r w:rsidR="00AC7061">
        <w:t xml:space="preserve">board </w:t>
      </w:r>
      <w:r>
        <w:t>meeting were reviewed.  There was a motion to accept the minutes as written and a second to the motion.  The motion carried and the minutes were approved.</w:t>
      </w:r>
    </w:p>
    <w:p w:rsidR="00BA6E38" w:rsidRDefault="00BA6E38" w:rsidP="00154362">
      <w:pPr>
        <w:spacing w:after="0" w:line="240" w:lineRule="auto"/>
      </w:pPr>
    </w:p>
    <w:p w:rsidR="00BA6E38" w:rsidRDefault="00BA6E38" w:rsidP="00154362">
      <w:pPr>
        <w:spacing w:after="0" w:line="240" w:lineRule="auto"/>
      </w:pPr>
      <w:r w:rsidRPr="00BA6E38">
        <w:rPr>
          <w:b/>
        </w:rPr>
        <w:t xml:space="preserve">Call for Additions/Modifications to the Agenda: </w:t>
      </w:r>
      <w:r>
        <w:t xml:space="preserve"> There being</w:t>
      </w:r>
      <w:r w:rsidR="00152368">
        <w:t xml:space="preserve"> no modifications to the </w:t>
      </w:r>
      <w:r w:rsidR="004A390A">
        <w:t>August</w:t>
      </w:r>
      <w:r w:rsidR="00E03545">
        <w:t xml:space="preserve"> </w:t>
      </w:r>
      <w:r>
        <w:t xml:space="preserve">agenda, it was accepted as proposed. </w:t>
      </w:r>
    </w:p>
    <w:p w:rsidR="0061168B" w:rsidRDefault="0061168B" w:rsidP="00154362">
      <w:pPr>
        <w:spacing w:after="0" w:line="240" w:lineRule="auto"/>
      </w:pPr>
    </w:p>
    <w:p w:rsidR="001469B8" w:rsidRPr="00D900A3" w:rsidRDefault="00D900A3" w:rsidP="001469B8">
      <w:pPr>
        <w:rPr>
          <w:b/>
        </w:rPr>
      </w:pPr>
      <w:r w:rsidRPr="00636F42">
        <w:rPr>
          <w:b/>
        </w:rPr>
        <w:t xml:space="preserve">Treasurer’s Report: </w:t>
      </w:r>
      <w:r>
        <w:rPr>
          <w:b/>
        </w:rPr>
        <w:t xml:space="preserve"> </w:t>
      </w:r>
      <w:r w:rsidR="00636F42">
        <w:t xml:space="preserve">Chuck </w:t>
      </w:r>
      <w:r w:rsidR="00711B2C">
        <w:t xml:space="preserve">reported on the current revenue </w:t>
      </w:r>
      <w:r w:rsidR="00D90FC0">
        <w:t>of the HOA</w:t>
      </w:r>
      <w:r w:rsidR="00975350">
        <w:t xml:space="preserve"> and </w:t>
      </w:r>
      <w:r w:rsidR="0022100B">
        <w:t xml:space="preserve">presented to </w:t>
      </w:r>
      <w:r w:rsidR="00652753">
        <w:t>the board</w:t>
      </w:r>
      <w:r w:rsidR="00975350">
        <w:t>.</w:t>
      </w:r>
      <w:r w:rsidR="00652753">
        <w:t xml:space="preserve"> </w:t>
      </w:r>
      <w:r w:rsidR="00D90FC0">
        <w:t xml:space="preserve"> </w:t>
      </w:r>
      <w:r w:rsidR="00975350">
        <w:t>Y</w:t>
      </w:r>
      <w:r w:rsidR="00791BF8">
        <w:t>ear-to-date expenses</w:t>
      </w:r>
      <w:r w:rsidR="00975350">
        <w:t xml:space="preserve"> are all under budget for the year. It was reported one homeowner</w:t>
      </w:r>
      <w:r w:rsidR="00791BF8">
        <w:t xml:space="preserve"> </w:t>
      </w:r>
      <w:r w:rsidR="00975350">
        <w:rPr>
          <w:rFonts w:eastAsia="Times New Roman"/>
        </w:rPr>
        <w:t xml:space="preserve">is </w:t>
      </w:r>
      <w:r w:rsidR="00791BF8">
        <w:rPr>
          <w:rFonts w:eastAsia="Times New Roman"/>
        </w:rPr>
        <w:t xml:space="preserve">late with monthly payments. </w:t>
      </w:r>
      <w:r w:rsidR="004A390A">
        <w:rPr>
          <w:rFonts w:eastAsia="Times New Roman"/>
        </w:rPr>
        <w:t xml:space="preserve"> With full bo</w:t>
      </w:r>
      <w:r w:rsidR="005011C2">
        <w:rPr>
          <w:rFonts w:eastAsia="Times New Roman"/>
        </w:rPr>
        <w:t>ard support, the T</w:t>
      </w:r>
      <w:r w:rsidR="004A390A">
        <w:rPr>
          <w:rFonts w:eastAsia="Times New Roman"/>
        </w:rPr>
        <w:t xml:space="preserve">reasurer will prepare to take legal action steps against the delinquent homeowner. </w:t>
      </w:r>
    </w:p>
    <w:p w:rsidR="00CA1419" w:rsidRDefault="00652753" w:rsidP="00975350">
      <w:pPr>
        <w:spacing w:after="0" w:line="240" w:lineRule="auto"/>
      </w:pPr>
      <w:r>
        <w:t xml:space="preserve">Below is the report on revenues. </w:t>
      </w:r>
      <w:r w:rsidR="0028217C">
        <w:t xml:space="preserve">  </w:t>
      </w:r>
      <w:r w:rsidR="00B26F56">
        <w:t xml:space="preserve">There was a motion and </w:t>
      </w:r>
      <w:r w:rsidR="00217804">
        <w:t xml:space="preserve">it was </w:t>
      </w:r>
      <w:r w:rsidR="00B26F56">
        <w:t>second</w:t>
      </w:r>
      <w:r w:rsidR="00217804">
        <w:t>ed to accept the T</w:t>
      </w:r>
      <w:r w:rsidR="00B26F56">
        <w:t xml:space="preserve">reasurer’s report.  The motion was unanimously carried. </w:t>
      </w:r>
    </w:p>
    <w:p w:rsidR="00975350" w:rsidRPr="00975350" w:rsidRDefault="00975350" w:rsidP="00975350">
      <w:pPr>
        <w:spacing w:after="0" w:line="240" w:lineRule="auto"/>
      </w:pPr>
    </w:p>
    <w:tbl>
      <w:tblPr>
        <w:tblW w:w="10125" w:type="dxa"/>
        <w:tblLayout w:type="fixed"/>
        <w:tblCellMar>
          <w:left w:w="30" w:type="dxa"/>
          <w:right w:w="30" w:type="dxa"/>
        </w:tblCellMar>
        <w:tblLook w:val="0000" w:firstRow="0" w:lastRow="0" w:firstColumn="0" w:lastColumn="0" w:noHBand="0" w:noVBand="0"/>
      </w:tblPr>
      <w:tblGrid>
        <w:gridCol w:w="3720"/>
        <w:gridCol w:w="2205"/>
        <w:gridCol w:w="2190"/>
        <w:gridCol w:w="2010"/>
      </w:tblGrid>
      <w:tr w:rsidR="004A390A" w:rsidTr="004A390A">
        <w:tblPrEx>
          <w:tblCellMar>
            <w:top w:w="0" w:type="dxa"/>
            <w:bottom w:w="0" w:type="dxa"/>
          </w:tblCellMar>
        </w:tblPrEx>
        <w:trPr>
          <w:trHeight w:val="315"/>
        </w:trPr>
        <w:tc>
          <w:tcPr>
            <w:tcW w:w="10125" w:type="dxa"/>
            <w:gridSpan w:val="4"/>
            <w:tcBorders>
              <w:top w:val="double" w:sz="6" w:space="0" w:color="auto"/>
              <w:left w:val="double" w:sz="6" w:space="0" w:color="auto"/>
              <w:bottom w:val="nil"/>
              <w:right w:val="double" w:sz="6" w:space="0" w:color="auto"/>
            </w:tcBorders>
          </w:tcPr>
          <w:p w:rsidR="004A390A" w:rsidRPr="004A390A" w:rsidRDefault="004A390A">
            <w:pPr>
              <w:autoSpaceDE w:val="0"/>
              <w:autoSpaceDN w:val="0"/>
              <w:adjustRightInd w:val="0"/>
              <w:spacing w:after="0" w:line="240" w:lineRule="auto"/>
              <w:jc w:val="center"/>
              <w:rPr>
                <w:rFonts w:asciiTheme="majorHAnsi" w:hAnsiTheme="majorHAnsi" w:cs="Arial"/>
                <w:b/>
                <w:bCs/>
                <w:color w:val="000000"/>
              </w:rPr>
            </w:pPr>
            <w:r w:rsidRPr="004A390A">
              <w:rPr>
                <w:rFonts w:asciiTheme="majorHAnsi" w:hAnsiTheme="majorHAnsi" w:cs="Arial"/>
                <w:b/>
                <w:bCs/>
                <w:color w:val="000000"/>
              </w:rPr>
              <w:t>Treasurer's Report  for August 18, 2014</w:t>
            </w:r>
          </w:p>
        </w:tc>
      </w:tr>
      <w:tr w:rsidR="004A390A" w:rsidTr="004A390A">
        <w:tblPrEx>
          <w:tblCellMar>
            <w:top w:w="0" w:type="dxa"/>
            <w:bottom w:w="0" w:type="dxa"/>
          </w:tblCellMar>
        </w:tblPrEx>
        <w:trPr>
          <w:trHeight w:val="315"/>
        </w:trPr>
        <w:tc>
          <w:tcPr>
            <w:tcW w:w="3720" w:type="dxa"/>
            <w:tcBorders>
              <w:top w:val="single" w:sz="18" w:space="0" w:color="auto"/>
              <w:left w:val="double" w:sz="6" w:space="0" w:color="auto"/>
              <w:bottom w:val="single" w:sz="6" w:space="0" w:color="auto"/>
              <w:right w:val="single" w:sz="6" w:space="0" w:color="auto"/>
            </w:tcBorders>
          </w:tcPr>
          <w:p w:rsidR="004A390A" w:rsidRPr="004A390A" w:rsidRDefault="004A390A">
            <w:pPr>
              <w:autoSpaceDE w:val="0"/>
              <w:autoSpaceDN w:val="0"/>
              <w:adjustRightInd w:val="0"/>
              <w:spacing w:after="0" w:line="240" w:lineRule="auto"/>
              <w:jc w:val="center"/>
              <w:rPr>
                <w:rFonts w:asciiTheme="majorHAnsi" w:hAnsiTheme="majorHAnsi" w:cs="Arial"/>
                <w:b/>
                <w:bCs/>
                <w:color w:val="000000"/>
              </w:rPr>
            </w:pPr>
            <w:r w:rsidRPr="004A390A">
              <w:rPr>
                <w:rFonts w:asciiTheme="majorHAnsi" w:hAnsiTheme="majorHAnsi" w:cs="Arial"/>
                <w:b/>
                <w:bCs/>
                <w:color w:val="000000"/>
              </w:rPr>
              <w:t>Account Description</w:t>
            </w:r>
          </w:p>
        </w:tc>
        <w:tc>
          <w:tcPr>
            <w:tcW w:w="2205" w:type="dxa"/>
            <w:tcBorders>
              <w:top w:val="single" w:sz="18" w:space="0" w:color="auto"/>
              <w:left w:val="nil"/>
              <w:bottom w:val="single" w:sz="6" w:space="0" w:color="auto"/>
              <w:right w:val="single" w:sz="6" w:space="0" w:color="auto"/>
            </w:tcBorders>
          </w:tcPr>
          <w:p w:rsidR="004A390A" w:rsidRPr="004A390A" w:rsidRDefault="004A390A">
            <w:pPr>
              <w:autoSpaceDE w:val="0"/>
              <w:autoSpaceDN w:val="0"/>
              <w:adjustRightInd w:val="0"/>
              <w:spacing w:after="0" w:line="240" w:lineRule="auto"/>
              <w:jc w:val="center"/>
              <w:rPr>
                <w:rFonts w:asciiTheme="majorHAnsi" w:hAnsiTheme="majorHAnsi" w:cs="Arial"/>
                <w:b/>
                <w:bCs/>
                <w:color w:val="000000"/>
              </w:rPr>
            </w:pPr>
            <w:r w:rsidRPr="004A390A">
              <w:rPr>
                <w:rFonts w:asciiTheme="majorHAnsi" w:hAnsiTheme="majorHAnsi" w:cs="Arial"/>
                <w:b/>
                <w:bCs/>
                <w:color w:val="000000"/>
              </w:rPr>
              <w:t>Operating Account</w:t>
            </w:r>
          </w:p>
        </w:tc>
        <w:tc>
          <w:tcPr>
            <w:tcW w:w="2190" w:type="dxa"/>
            <w:tcBorders>
              <w:top w:val="single" w:sz="18" w:space="0" w:color="auto"/>
              <w:left w:val="single" w:sz="6" w:space="0" w:color="auto"/>
              <w:bottom w:val="single" w:sz="6" w:space="0" w:color="auto"/>
              <w:right w:val="single" w:sz="6" w:space="0" w:color="auto"/>
            </w:tcBorders>
          </w:tcPr>
          <w:p w:rsidR="004A390A" w:rsidRPr="004A390A" w:rsidRDefault="004A390A">
            <w:pPr>
              <w:autoSpaceDE w:val="0"/>
              <w:autoSpaceDN w:val="0"/>
              <w:adjustRightInd w:val="0"/>
              <w:spacing w:after="0" w:line="240" w:lineRule="auto"/>
              <w:jc w:val="center"/>
              <w:rPr>
                <w:rFonts w:asciiTheme="majorHAnsi" w:hAnsiTheme="majorHAnsi" w:cs="Arial"/>
                <w:b/>
                <w:bCs/>
                <w:color w:val="000000"/>
              </w:rPr>
            </w:pPr>
            <w:r w:rsidRPr="004A390A">
              <w:rPr>
                <w:rFonts w:asciiTheme="majorHAnsi" w:hAnsiTheme="majorHAnsi" w:cs="Arial"/>
                <w:b/>
                <w:bCs/>
                <w:color w:val="000000"/>
              </w:rPr>
              <w:t>Reserve Account</w:t>
            </w:r>
          </w:p>
        </w:tc>
        <w:tc>
          <w:tcPr>
            <w:tcW w:w="2010" w:type="dxa"/>
            <w:tcBorders>
              <w:top w:val="single" w:sz="18" w:space="0" w:color="auto"/>
              <w:left w:val="single" w:sz="6" w:space="0" w:color="auto"/>
              <w:bottom w:val="single" w:sz="6" w:space="0" w:color="auto"/>
              <w:right w:val="double" w:sz="6" w:space="0" w:color="auto"/>
            </w:tcBorders>
          </w:tcPr>
          <w:p w:rsidR="004A390A" w:rsidRPr="004A390A" w:rsidRDefault="004A390A">
            <w:pPr>
              <w:autoSpaceDE w:val="0"/>
              <w:autoSpaceDN w:val="0"/>
              <w:adjustRightInd w:val="0"/>
              <w:spacing w:after="0" w:line="240" w:lineRule="auto"/>
              <w:jc w:val="center"/>
              <w:rPr>
                <w:rFonts w:asciiTheme="majorHAnsi" w:hAnsiTheme="majorHAnsi" w:cs="Arial"/>
                <w:b/>
                <w:bCs/>
                <w:color w:val="000000"/>
              </w:rPr>
            </w:pPr>
            <w:r w:rsidRPr="004A390A">
              <w:rPr>
                <w:rFonts w:asciiTheme="majorHAnsi" w:hAnsiTheme="majorHAnsi" w:cs="Arial"/>
                <w:b/>
                <w:bCs/>
                <w:color w:val="000000"/>
              </w:rPr>
              <w:t>Totals</w:t>
            </w:r>
          </w:p>
        </w:tc>
      </w:tr>
      <w:tr w:rsidR="004A390A" w:rsidTr="004A390A">
        <w:tblPrEx>
          <w:tblCellMar>
            <w:top w:w="0" w:type="dxa"/>
            <w:bottom w:w="0" w:type="dxa"/>
          </w:tblCellMar>
        </w:tblPrEx>
        <w:trPr>
          <w:trHeight w:val="510"/>
        </w:trPr>
        <w:tc>
          <w:tcPr>
            <w:tcW w:w="3720" w:type="dxa"/>
            <w:tcBorders>
              <w:top w:val="single" w:sz="6" w:space="0" w:color="auto"/>
              <w:left w:val="double" w:sz="6" w:space="0" w:color="auto"/>
              <w:bottom w:val="single" w:sz="6" w:space="0" w:color="auto"/>
              <w:right w:val="single" w:sz="6" w:space="0" w:color="auto"/>
            </w:tcBorders>
          </w:tcPr>
          <w:p w:rsidR="004A390A" w:rsidRPr="004A390A" w:rsidRDefault="004A390A">
            <w:pPr>
              <w:autoSpaceDE w:val="0"/>
              <w:autoSpaceDN w:val="0"/>
              <w:adjustRightInd w:val="0"/>
              <w:spacing w:after="0" w:line="240" w:lineRule="auto"/>
              <w:jc w:val="center"/>
              <w:rPr>
                <w:rFonts w:asciiTheme="majorHAnsi" w:hAnsiTheme="majorHAnsi" w:cs="Arial"/>
                <w:color w:val="000000"/>
              </w:rPr>
            </w:pPr>
            <w:r w:rsidRPr="004A390A">
              <w:rPr>
                <w:rFonts w:asciiTheme="majorHAnsi" w:hAnsiTheme="majorHAnsi" w:cs="Arial"/>
                <w:color w:val="000000"/>
              </w:rPr>
              <w:t xml:space="preserve">Operating Account, Union Bank </w:t>
            </w:r>
          </w:p>
        </w:tc>
        <w:tc>
          <w:tcPr>
            <w:tcW w:w="2205" w:type="dxa"/>
            <w:tcBorders>
              <w:top w:val="single" w:sz="6" w:space="0" w:color="auto"/>
              <w:left w:val="nil"/>
              <w:bottom w:val="single" w:sz="6" w:space="0" w:color="auto"/>
              <w:right w:val="single" w:sz="6" w:space="0" w:color="auto"/>
            </w:tcBorders>
          </w:tcPr>
          <w:p w:rsidR="004A390A" w:rsidRPr="004A390A" w:rsidRDefault="004A390A">
            <w:pPr>
              <w:autoSpaceDE w:val="0"/>
              <w:autoSpaceDN w:val="0"/>
              <w:adjustRightInd w:val="0"/>
              <w:spacing w:after="0" w:line="240" w:lineRule="auto"/>
              <w:jc w:val="center"/>
              <w:rPr>
                <w:rFonts w:asciiTheme="majorHAnsi" w:hAnsiTheme="majorHAnsi" w:cs="Arial"/>
                <w:color w:val="000000"/>
              </w:rPr>
            </w:pPr>
            <w:r w:rsidRPr="004A390A">
              <w:rPr>
                <w:rFonts w:asciiTheme="majorHAnsi" w:hAnsiTheme="majorHAnsi" w:cs="Arial"/>
                <w:color w:val="000000"/>
              </w:rPr>
              <w:t>12,301.31</w:t>
            </w:r>
          </w:p>
        </w:tc>
        <w:tc>
          <w:tcPr>
            <w:tcW w:w="2190" w:type="dxa"/>
            <w:tcBorders>
              <w:top w:val="single" w:sz="6" w:space="0" w:color="auto"/>
              <w:left w:val="single" w:sz="6" w:space="0" w:color="auto"/>
              <w:bottom w:val="single" w:sz="6" w:space="0" w:color="auto"/>
              <w:right w:val="single" w:sz="6" w:space="0" w:color="auto"/>
            </w:tcBorders>
          </w:tcPr>
          <w:p w:rsidR="004A390A" w:rsidRPr="004A390A" w:rsidRDefault="004A390A">
            <w:pPr>
              <w:autoSpaceDE w:val="0"/>
              <w:autoSpaceDN w:val="0"/>
              <w:adjustRightInd w:val="0"/>
              <w:spacing w:after="0" w:line="240" w:lineRule="auto"/>
              <w:jc w:val="right"/>
              <w:rPr>
                <w:rFonts w:asciiTheme="majorHAnsi" w:hAnsiTheme="majorHAnsi" w:cs="Arial"/>
                <w:color w:val="000000"/>
              </w:rPr>
            </w:pPr>
          </w:p>
        </w:tc>
        <w:tc>
          <w:tcPr>
            <w:tcW w:w="2010" w:type="dxa"/>
            <w:tcBorders>
              <w:top w:val="single" w:sz="6" w:space="0" w:color="auto"/>
              <w:left w:val="single" w:sz="6" w:space="0" w:color="auto"/>
              <w:bottom w:val="single" w:sz="6" w:space="0" w:color="auto"/>
              <w:right w:val="double" w:sz="6" w:space="0" w:color="auto"/>
            </w:tcBorders>
          </w:tcPr>
          <w:p w:rsidR="004A390A" w:rsidRPr="004A390A" w:rsidRDefault="004A390A">
            <w:pPr>
              <w:autoSpaceDE w:val="0"/>
              <w:autoSpaceDN w:val="0"/>
              <w:adjustRightInd w:val="0"/>
              <w:spacing w:after="0" w:line="240" w:lineRule="auto"/>
              <w:jc w:val="right"/>
              <w:rPr>
                <w:rFonts w:asciiTheme="majorHAnsi" w:hAnsiTheme="majorHAnsi" w:cs="Arial"/>
                <w:color w:val="000000"/>
              </w:rPr>
            </w:pPr>
            <w:r w:rsidRPr="004A390A">
              <w:rPr>
                <w:rFonts w:asciiTheme="majorHAnsi" w:hAnsiTheme="majorHAnsi" w:cs="Arial"/>
                <w:color w:val="000000"/>
              </w:rPr>
              <w:t>12,301.31</w:t>
            </w:r>
          </w:p>
        </w:tc>
      </w:tr>
      <w:tr w:rsidR="004A390A" w:rsidTr="004A390A">
        <w:tblPrEx>
          <w:tblCellMar>
            <w:top w:w="0" w:type="dxa"/>
            <w:bottom w:w="0" w:type="dxa"/>
          </w:tblCellMar>
        </w:tblPrEx>
        <w:trPr>
          <w:trHeight w:val="465"/>
        </w:trPr>
        <w:tc>
          <w:tcPr>
            <w:tcW w:w="3720" w:type="dxa"/>
            <w:tcBorders>
              <w:top w:val="single" w:sz="6" w:space="0" w:color="auto"/>
              <w:left w:val="double" w:sz="6" w:space="0" w:color="auto"/>
              <w:bottom w:val="single" w:sz="6" w:space="0" w:color="auto"/>
              <w:right w:val="single" w:sz="6" w:space="0" w:color="auto"/>
            </w:tcBorders>
          </w:tcPr>
          <w:p w:rsidR="004A390A" w:rsidRPr="004A390A" w:rsidRDefault="004A390A">
            <w:pPr>
              <w:autoSpaceDE w:val="0"/>
              <w:autoSpaceDN w:val="0"/>
              <w:adjustRightInd w:val="0"/>
              <w:spacing w:after="0" w:line="240" w:lineRule="auto"/>
              <w:jc w:val="center"/>
              <w:rPr>
                <w:rFonts w:asciiTheme="majorHAnsi" w:hAnsiTheme="majorHAnsi" w:cs="Arial"/>
                <w:color w:val="000000"/>
              </w:rPr>
            </w:pPr>
            <w:r w:rsidRPr="004A390A">
              <w:rPr>
                <w:rFonts w:asciiTheme="majorHAnsi" w:hAnsiTheme="majorHAnsi" w:cs="Arial"/>
                <w:color w:val="000000"/>
              </w:rPr>
              <w:t>Reserve Account, Union Bank</w:t>
            </w:r>
          </w:p>
        </w:tc>
        <w:tc>
          <w:tcPr>
            <w:tcW w:w="2205" w:type="dxa"/>
            <w:tcBorders>
              <w:top w:val="single" w:sz="6" w:space="0" w:color="auto"/>
              <w:left w:val="nil"/>
              <w:bottom w:val="single" w:sz="6" w:space="0" w:color="auto"/>
              <w:right w:val="single" w:sz="6" w:space="0" w:color="auto"/>
            </w:tcBorders>
          </w:tcPr>
          <w:p w:rsidR="004A390A" w:rsidRPr="004A390A" w:rsidRDefault="004A390A">
            <w:pPr>
              <w:autoSpaceDE w:val="0"/>
              <w:autoSpaceDN w:val="0"/>
              <w:adjustRightInd w:val="0"/>
              <w:spacing w:after="0" w:line="240" w:lineRule="auto"/>
              <w:jc w:val="center"/>
              <w:rPr>
                <w:rFonts w:asciiTheme="majorHAnsi" w:hAnsiTheme="majorHAnsi" w:cs="Arial"/>
                <w:color w:val="000000"/>
              </w:rPr>
            </w:pPr>
          </w:p>
        </w:tc>
        <w:tc>
          <w:tcPr>
            <w:tcW w:w="2190" w:type="dxa"/>
            <w:tcBorders>
              <w:top w:val="single" w:sz="6" w:space="0" w:color="auto"/>
              <w:left w:val="single" w:sz="6" w:space="0" w:color="auto"/>
              <w:bottom w:val="single" w:sz="6" w:space="0" w:color="auto"/>
              <w:right w:val="single" w:sz="6" w:space="0" w:color="auto"/>
            </w:tcBorders>
          </w:tcPr>
          <w:p w:rsidR="004A390A" w:rsidRPr="004A390A" w:rsidRDefault="004A390A">
            <w:pPr>
              <w:autoSpaceDE w:val="0"/>
              <w:autoSpaceDN w:val="0"/>
              <w:adjustRightInd w:val="0"/>
              <w:spacing w:after="0" w:line="240" w:lineRule="auto"/>
              <w:jc w:val="right"/>
              <w:rPr>
                <w:rFonts w:asciiTheme="majorHAnsi" w:hAnsiTheme="majorHAnsi" w:cs="Arial"/>
                <w:color w:val="000000"/>
              </w:rPr>
            </w:pPr>
            <w:r w:rsidRPr="004A390A">
              <w:rPr>
                <w:rFonts w:asciiTheme="majorHAnsi" w:hAnsiTheme="majorHAnsi" w:cs="Arial"/>
                <w:color w:val="000000"/>
              </w:rPr>
              <w:t>201,235.64</w:t>
            </w:r>
          </w:p>
        </w:tc>
        <w:tc>
          <w:tcPr>
            <w:tcW w:w="2010" w:type="dxa"/>
            <w:tcBorders>
              <w:top w:val="single" w:sz="6" w:space="0" w:color="auto"/>
              <w:left w:val="single" w:sz="6" w:space="0" w:color="auto"/>
              <w:bottom w:val="single" w:sz="6" w:space="0" w:color="auto"/>
              <w:right w:val="double" w:sz="6" w:space="0" w:color="auto"/>
            </w:tcBorders>
          </w:tcPr>
          <w:p w:rsidR="004A390A" w:rsidRPr="004A390A" w:rsidRDefault="004A390A">
            <w:pPr>
              <w:autoSpaceDE w:val="0"/>
              <w:autoSpaceDN w:val="0"/>
              <w:adjustRightInd w:val="0"/>
              <w:spacing w:after="0" w:line="240" w:lineRule="auto"/>
              <w:jc w:val="right"/>
              <w:rPr>
                <w:rFonts w:asciiTheme="majorHAnsi" w:hAnsiTheme="majorHAnsi" w:cs="Arial"/>
                <w:color w:val="000000"/>
              </w:rPr>
            </w:pPr>
            <w:r w:rsidRPr="004A390A">
              <w:rPr>
                <w:rFonts w:asciiTheme="majorHAnsi" w:hAnsiTheme="majorHAnsi" w:cs="Arial"/>
                <w:color w:val="000000"/>
              </w:rPr>
              <w:t>201,235.64</w:t>
            </w:r>
          </w:p>
        </w:tc>
      </w:tr>
      <w:tr w:rsidR="004A390A" w:rsidTr="004A390A">
        <w:tblPrEx>
          <w:tblCellMar>
            <w:top w:w="0" w:type="dxa"/>
            <w:bottom w:w="0" w:type="dxa"/>
          </w:tblCellMar>
        </w:tblPrEx>
        <w:trPr>
          <w:trHeight w:val="510"/>
        </w:trPr>
        <w:tc>
          <w:tcPr>
            <w:tcW w:w="3720" w:type="dxa"/>
            <w:tcBorders>
              <w:top w:val="single" w:sz="6" w:space="0" w:color="auto"/>
              <w:left w:val="double" w:sz="6" w:space="0" w:color="auto"/>
              <w:bottom w:val="single" w:sz="6" w:space="0" w:color="auto"/>
              <w:right w:val="single" w:sz="6" w:space="0" w:color="auto"/>
            </w:tcBorders>
          </w:tcPr>
          <w:p w:rsidR="004A390A" w:rsidRPr="004A390A" w:rsidRDefault="004A390A">
            <w:pPr>
              <w:autoSpaceDE w:val="0"/>
              <w:autoSpaceDN w:val="0"/>
              <w:adjustRightInd w:val="0"/>
              <w:spacing w:after="0" w:line="240" w:lineRule="auto"/>
              <w:jc w:val="center"/>
              <w:rPr>
                <w:rFonts w:asciiTheme="majorHAnsi" w:hAnsiTheme="majorHAnsi" w:cs="Arial"/>
                <w:color w:val="000000"/>
              </w:rPr>
            </w:pPr>
            <w:r w:rsidRPr="004A390A">
              <w:rPr>
                <w:rFonts w:asciiTheme="majorHAnsi" w:hAnsiTheme="majorHAnsi" w:cs="Arial"/>
                <w:color w:val="000000"/>
              </w:rPr>
              <w:t>Reserve Account, Certificate of Deposit</w:t>
            </w:r>
          </w:p>
        </w:tc>
        <w:tc>
          <w:tcPr>
            <w:tcW w:w="2205" w:type="dxa"/>
            <w:tcBorders>
              <w:top w:val="nil"/>
              <w:left w:val="nil"/>
              <w:bottom w:val="nil"/>
              <w:right w:val="nil"/>
            </w:tcBorders>
          </w:tcPr>
          <w:p w:rsidR="004A390A" w:rsidRPr="004A390A" w:rsidRDefault="004A390A">
            <w:pPr>
              <w:autoSpaceDE w:val="0"/>
              <w:autoSpaceDN w:val="0"/>
              <w:adjustRightInd w:val="0"/>
              <w:spacing w:after="0" w:line="240" w:lineRule="auto"/>
              <w:jc w:val="right"/>
              <w:rPr>
                <w:rFonts w:asciiTheme="majorHAnsi" w:hAnsiTheme="majorHAnsi" w:cs="Arial"/>
                <w:color w:val="000000"/>
              </w:rPr>
            </w:pPr>
          </w:p>
        </w:tc>
        <w:tc>
          <w:tcPr>
            <w:tcW w:w="2190" w:type="dxa"/>
            <w:tcBorders>
              <w:top w:val="single" w:sz="6" w:space="0" w:color="auto"/>
              <w:left w:val="single" w:sz="6" w:space="0" w:color="auto"/>
              <w:bottom w:val="single" w:sz="6" w:space="0" w:color="auto"/>
              <w:right w:val="single" w:sz="6" w:space="0" w:color="auto"/>
            </w:tcBorders>
          </w:tcPr>
          <w:p w:rsidR="004A390A" w:rsidRPr="004A390A" w:rsidRDefault="004A390A">
            <w:pPr>
              <w:autoSpaceDE w:val="0"/>
              <w:autoSpaceDN w:val="0"/>
              <w:adjustRightInd w:val="0"/>
              <w:spacing w:after="0" w:line="240" w:lineRule="auto"/>
              <w:jc w:val="right"/>
              <w:rPr>
                <w:rFonts w:asciiTheme="majorHAnsi" w:hAnsiTheme="majorHAnsi" w:cs="Arial"/>
                <w:color w:val="000000"/>
              </w:rPr>
            </w:pPr>
            <w:r w:rsidRPr="004A390A">
              <w:rPr>
                <w:rFonts w:asciiTheme="majorHAnsi" w:hAnsiTheme="majorHAnsi" w:cs="Arial"/>
                <w:color w:val="000000"/>
              </w:rPr>
              <w:t>65,603.62</w:t>
            </w:r>
          </w:p>
        </w:tc>
        <w:tc>
          <w:tcPr>
            <w:tcW w:w="2010" w:type="dxa"/>
            <w:tcBorders>
              <w:top w:val="single" w:sz="6" w:space="0" w:color="auto"/>
              <w:left w:val="single" w:sz="6" w:space="0" w:color="auto"/>
              <w:bottom w:val="single" w:sz="6" w:space="0" w:color="auto"/>
              <w:right w:val="double" w:sz="6" w:space="0" w:color="auto"/>
            </w:tcBorders>
          </w:tcPr>
          <w:p w:rsidR="004A390A" w:rsidRPr="004A390A" w:rsidRDefault="004A390A">
            <w:pPr>
              <w:autoSpaceDE w:val="0"/>
              <w:autoSpaceDN w:val="0"/>
              <w:adjustRightInd w:val="0"/>
              <w:spacing w:after="0" w:line="240" w:lineRule="auto"/>
              <w:jc w:val="right"/>
              <w:rPr>
                <w:rFonts w:asciiTheme="majorHAnsi" w:hAnsiTheme="majorHAnsi" w:cs="Arial"/>
                <w:color w:val="000000"/>
              </w:rPr>
            </w:pPr>
            <w:r w:rsidRPr="004A390A">
              <w:rPr>
                <w:rFonts w:asciiTheme="majorHAnsi" w:hAnsiTheme="majorHAnsi" w:cs="Arial"/>
                <w:color w:val="000000"/>
              </w:rPr>
              <w:t>65,603.62</w:t>
            </w:r>
          </w:p>
        </w:tc>
      </w:tr>
      <w:tr w:rsidR="004A390A" w:rsidTr="004A390A">
        <w:tblPrEx>
          <w:tblCellMar>
            <w:top w:w="0" w:type="dxa"/>
            <w:bottom w:w="0" w:type="dxa"/>
          </w:tblCellMar>
        </w:tblPrEx>
        <w:trPr>
          <w:trHeight w:val="345"/>
        </w:trPr>
        <w:tc>
          <w:tcPr>
            <w:tcW w:w="3720" w:type="dxa"/>
            <w:tcBorders>
              <w:top w:val="single" w:sz="6" w:space="0" w:color="auto"/>
              <w:left w:val="double" w:sz="6" w:space="0" w:color="auto"/>
              <w:bottom w:val="double" w:sz="6" w:space="0" w:color="auto"/>
              <w:right w:val="nil"/>
            </w:tcBorders>
          </w:tcPr>
          <w:p w:rsidR="004A390A" w:rsidRPr="004A390A" w:rsidRDefault="004A390A">
            <w:pPr>
              <w:autoSpaceDE w:val="0"/>
              <w:autoSpaceDN w:val="0"/>
              <w:adjustRightInd w:val="0"/>
              <w:spacing w:after="0" w:line="240" w:lineRule="auto"/>
              <w:jc w:val="center"/>
              <w:rPr>
                <w:rFonts w:asciiTheme="majorHAnsi" w:hAnsiTheme="majorHAnsi" w:cs="Arial"/>
                <w:b/>
                <w:bCs/>
                <w:color w:val="000000"/>
              </w:rPr>
            </w:pPr>
            <w:r w:rsidRPr="004A390A">
              <w:rPr>
                <w:rFonts w:asciiTheme="majorHAnsi" w:hAnsiTheme="majorHAnsi" w:cs="Arial"/>
                <w:b/>
                <w:bCs/>
                <w:color w:val="000000"/>
              </w:rPr>
              <w:t>Totals:</w:t>
            </w:r>
          </w:p>
        </w:tc>
        <w:tc>
          <w:tcPr>
            <w:tcW w:w="2205" w:type="dxa"/>
            <w:tcBorders>
              <w:top w:val="single" w:sz="6" w:space="0" w:color="auto"/>
              <w:left w:val="nil"/>
              <w:bottom w:val="double" w:sz="6" w:space="0" w:color="auto"/>
              <w:right w:val="nil"/>
            </w:tcBorders>
          </w:tcPr>
          <w:p w:rsidR="004A390A" w:rsidRPr="004A390A" w:rsidRDefault="004A390A">
            <w:pPr>
              <w:autoSpaceDE w:val="0"/>
              <w:autoSpaceDN w:val="0"/>
              <w:adjustRightInd w:val="0"/>
              <w:spacing w:after="0" w:line="240" w:lineRule="auto"/>
              <w:jc w:val="center"/>
              <w:rPr>
                <w:rFonts w:asciiTheme="majorHAnsi" w:hAnsiTheme="majorHAnsi" w:cs="Arial"/>
                <w:b/>
                <w:bCs/>
                <w:color w:val="000000"/>
              </w:rPr>
            </w:pPr>
            <w:r w:rsidRPr="004A390A">
              <w:rPr>
                <w:rFonts w:asciiTheme="majorHAnsi" w:hAnsiTheme="majorHAnsi" w:cs="Arial"/>
                <w:b/>
                <w:bCs/>
                <w:color w:val="000000"/>
              </w:rPr>
              <w:t>$12,301.31</w:t>
            </w:r>
          </w:p>
        </w:tc>
        <w:tc>
          <w:tcPr>
            <w:tcW w:w="2190" w:type="dxa"/>
            <w:tcBorders>
              <w:top w:val="single" w:sz="6" w:space="0" w:color="auto"/>
              <w:left w:val="nil"/>
              <w:bottom w:val="double" w:sz="6" w:space="0" w:color="auto"/>
              <w:right w:val="single" w:sz="6" w:space="0" w:color="auto"/>
            </w:tcBorders>
          </w:tcPr>
          <w:p w:rsidR="004A390A" w:rsidRPr="004A390A" w:rsidRDefault="004A390A">
            <w:pPr>
              <w:autoSpaceDE w:val="0"/>
              <w:autoSpaceDN w:val="0"/>
              <w:adjustRightInd w:val="0"/>
              <w:spacing w:after="0" w:line="240" w:lineRule="auto"/>
              <w:jc w:val="right"/>
              <w:rPr>
                <w:rFonts w:asciiTheme="majorHAnsi" w:hAnsiTheme="majorHAnsi" w:cs="Arial"/>
                <w:b/>
                <w:bCs/>
                <w:color w:val="000000"/>
              </w:rPr>
            </w:pPr>
            <w:r w:rsidRPr="004A390A">
              <w:rPr>
                <w:rFonts w:asciiTheme="majorHAnsi" w:hAnsiTheme="majorHAnsi" w:cs="Arial"/>
                <w:b/>
                <w:bCs/>
                <w:color w:val="000000"/>
              </w:rPr>
              <w:t>$266,839.26</w:t>
            </w:r>
          </w:p>
        </w:tc>
        <w:tc>
          <w:tcPr>
            <w:tcW w:w="2010" w:type="dxa"/>
            <w:tcBorders>
              <w:top w:val="single" w:sz="6" w:space="0" w:color="auto"/>
              <w:left w:val="single" w:sz="6" w:space="0" w:color="auto"/>
              <w:bottom w:val="double" w:sz="6" w:space="0" w:color="auto"/>
              <w:right w:val="double" w:sz="6" w:space="0" w:color="auto"/>
            </w:tcBorders>
          </w:tcPr>
          <w:p w:rsidR="004A390A" w:rsidRPr="004A390A" w:rsidRDefault="004A390A">
            <w:pPr>
              <w:autoSpaceDE w:val="0"/>
              <w:autoSpaceDN w:val="0"/>
              <w:adjustRightInd w:val="0"/>
              <w:spacing w:after="0" w:line="240" w:lineRule="auto"/>
              <w:jc w:val="right"/>
              <w:rPr>
                <w:rFonts w:asciiTheme="majorHAnsi" w:hAnsiTheme="majorHAnsi" w:cs="Arial"/>
                <w:b/>
                <w:bCs/>
                <w:color w:val="000000"/>
              </w:rPr>
            </w:pPr>
            <w:r w:rsidRPr="004A390A">
              <w:rPr>
                <w:rFonts w:asciiTheme="majorHAnsi" w:hAnsiTheme="majorHAnsi" w:cs="Arial"/>
                <w:b/>
                <w:bCs/>
                <w:color w:val="000000"/>
              </w:rPr>
              <w:t>$279,140.57</w:t>
            </w:r>
          </w:p>
        </w:tc>
      </w:tr>
      <w:tr w:rsidR="004A390A" w:rsidTr="004A390A">
        <w:tblPrEx>
          <w:tblCellMar>
            <w:top w:w="0" w:type="dxa"/>
            <w:bottom w:w="0" w:type="dxa"/>
          </w:tblCellMar>
        </w:tblPrEx>
        <w:trPr>
          <w:trHeight w:val="396"/>
        </w:trPr>
        <w:tc>
          <w:tcPr>
            <w:tcW w:w="10125" w:type="dxa"/>
            <w:gridSpan w:val="4"/>
            <w:tcBorders>
              <w:top w:val="double" w:sz="6" w:space="0" w:color="auto"/>
              <w:left w:val="double" w:sz="6" w:space="0" w:color="auto"/>
              <w:bottom w:val="nil"/>
              <w:right w:val="double" w:sz="6" w:space="0" w:color="auto"/>
            </w:tcBorders>
          </w:tcPr>
          <w:p w:rsidR="004A390A" w:rsidRPr="004A390A" w:rsidRDefault="004A390A">
            <w:pPr>
              <w:autoSpaceDE w:val="0"/>
              <w:autoSpaceDN w:val="0"/>
              <w:adjustRightInd w:val="0"/>
              <w:spacing w:after="0" w:line="240" w:lineRule="auto"/>
              <w:jc w:val="center"/>
              <w:rPr>
                <w:rFonts w:asciiTheme="majorHAnsi" w:hAnsiTheme="majorHAnsi" w:cs="Arial"/>
                <w:b/>
                <w:bCs/>
                <w:color w:val="000000"/>
              </w:rPr>
            </w:pPr>
            <w:r w:rsidRPr="004A390A">
              <w:rPr>
                <w:rFonts w:asciiTheme="majorHAnsi" w:hAnsiTheme="majorHAnsi" w:cs="Arial"/>
                <w:b/>
                <w:bCs/>
                <w:color w:val="000000"/>
              </w:rPr>
              <w:t>Late Dues as of August 18, 2014</w:t>
            </w:r>
          </w:p>
        </w:tc>
      </w:tr>
      <w:tr w:rsidR="004A390A" w:rsidTr="004A390A">
        <w:tblPrEx>
          <w:tblCellMar>
            <w:top w:w="0" w:type="dxa"/>
            <w:bottom w:w="0" w:type="dxa"/>
          </w:tblCellMar>
        </w:tblPrEx>
        <w:trPr>
          <w:trHeight w:val="324"/>
        </w:trPr>
        <w:tc>
          <w:tcPr>
            <w:tcW w:w="3720" w:type="dxa"/>
            <w:tcBorders>
              <w:top w:val="single" w:sz="18" w:space="0" w:color="auto"/>
              <w:left w:val="double" w:sz="6" w:space="0" w:color="auto"/>
              <w:bottom w:val="single" w:sz="18" w:space="0" w:color="auto"/>
              <w:right w:val="single" w:sz="6" w:space="0" w:color="auto"/>
            </w:tcBorders>
          </w:tcPr>
          <w:p w:rsidR="004A390A" w:rsidRPr="004A390A" w:rsidRDefault="004A390A">
            <w:pPr>
              <w:autoSpaceDE w:val="0"/>
              <w:autoSpaceDN w:val="0"/>
              <w:adjustRightInd w:val="0"/>
              <w:spacing w:after="0" w:line="240" w:lineRule="auto"/>
              <w:jc w:val="center"/>
              <w:rPr>
                <w:rFonts w:asciiTheme="majorHAnsi" w:hAnsiTheme="majorHAnsi" w:cs="Arial"/>
                <w:b/>
                <w:bCs/>
                <w:color w:val="000000"/>
              </w:rPr>
            </w:pPr>
            <w:r>
              <w:rPr>
                <w:rFonts w:asciiTheme="majorHAnsi" w:hAnsiTheme="majorHAnsi" w:cs="Arial"/>
                <w:b/>
                <w:bCs/>
                <w:color w:val="000000"/>
              </w:rPr>
              <w:t>Number of late homeowners</w:t>
            </w:r>
          </w:p>
        </w:tc>
        <w:tc>
          <w:tcPr>
            <w:tcW w:w="2205" w:type="dxa"/>
            <w:tcBorders>
              <w:top w:val="single" w:sz="18" w:space="0" w:color="auto"/>
              <w:left w:val="nil"/>
              <w:bottom w:val="single" w:sz="18" w:space="0" w:color="auto"/>
              <w:right w:val="single" w:sz="6" w:space="0" w:color="auto"/>
            </w:tcBorders>
          </w:tcPr>
          <w:p w:rsidR="004A390A" w:rsidRPr="004A390A" w:rsidRDefault="004A390A">
            <w:pPr>
              <w:autoSpaceDE w:val="0"/>
              <w:autoSpaceDN w:val="0"/>
              <w:adjustRightInd w:val="0"/>
              <w:spacing w:after="0" w:line="240" w:lineRule="auto"/>
              <w:jc w:val="center"/>
              <w:rPr>
                <w:rFonts w:asciiTheme="majorHAnsi" w:hAnsiTheme="majorHAnsi" w:cs="Arial"/>
                <w:b/>
                <w:bCs/>
                <w:color w:val="000000"/>
              </w:rPr>
            </w:pPr>
          </w:p>
        </w:tc>
        <w:tc>
          <w:tcPr>
            <w:tcW w:w="2190" w:type="dxa"/>
            <w:tcBorders>
              <w:top w:val="single" w:sz="18" w:space="0" w:color="auto"/>
              <w:left w:val="single" w:sz="6" w:space="0" w:color="auto"/>
              <w:bottom w:val="single" w:sz="18" w:space="0" w:color="auto"/>
              <w:right w:val="single" w:sz="6" w:space="0" w:color="auto"/>
            </w:tcBorders>
          </w:tcPr>
          <w:p w:rsidR="004A390A" w:rsidRPr="004A390A" w:rsidRDefault="004A390A">
            <w:pPr>
              <w:autoSpaceDE w:val="0"/>
              <w:autoSpaceDN w:val="0"/>
              <w:adjustRightInd w:val="0"/>
              <w:spacing w:after="0" w:line="240" w:lineRule="auto"/>
              <w:jc w:val="center"/>
              <w:rPr>
                <w:rFonts w:asciiTheme="majorHAnsi" w:hAnsiTheme="majorHAnsi" w:cs="Arial"/>
                <w:b/>
                <w:bCs/>
                <w:color w:val="000000"/>
              </w:rPr>
            </w:pPr>
            <w:r w:rsidRPr="004A390A">
              <w:rPr>
                <w:rFonts w:asciiTheme="majorHAnsi" w:hAnsiTheme="majorHAnsi" w:cs="Arial"/>
                <w:b/>
                <w:bCs/>
                <w:color w:val="000000"/>
              </w:rPr>
              <w:t>1</w:t>
            </w:r>
          </w:p>
        </w:tc>
        <w:tc>
          <w:tcPr>
            <w:tcW w:w="2010" w:type="dxa"/>
            <w:tcBorders>
              <w:top w:val="single" w:sz="18" w:space="0" w:color="auto"/>
              <w:left w:val="single" w:sz="6" w:space="0" w:color="auto"/>
              <w:bottom w:val="single" w:sz="18" w:space="0" w:color="auto"/>
              <w:right w:val="double" w:sz="6" w:space="0" w:color="auto"/>
            </w:tcBorders>
          </w:tcPr>
          <w:p w:rsidR="004A390A" w:rsidRPr="004A390A" w:rsidRDefault="004A390A">
            <w:pPr>
              <w:autoSpaceDE w:val="0"/>
              <w:autoSpaceDN w:val="0"/>
              <w:adjustRightInd w:val="0"/>
              <w:spacing w:after="0" w:line="240" w:lineRule="auto"/>
              <w:jc w:val="center"/>
              <w:rPr>
                <w:rFonts w:asciiTheme="majorHAnsi" w:hAnsiTheme="majorHAnsi" w:cs="Arial"/>
                <w:b/>
                <w:bCs/>
                <w:color w:val="000000"/>
              </w:rPr>
            </w:pPr>
          </w:p>
        </w:tc>
      </w:tr>
    </w:tbl>
    <w:p w:rsidR="004A390A" w:rsidRDefault="004A390A" w:rsidP="00DF67EE">
      <w:pPr>
        <w:spacing w:after="0" w:line="240" w:lineRule="auto"/>
        <w:rPr>
          <w:rFonts w:asciiTheme="majorHAnsi" w:eastAsia="Arial" w:hAnsiTheme="majorHAnsi" w:cs="Arial"/>
          <w:b/>
          <w:position w:val="-1"/>
        </w:rPr>
      </w:pPr>
    </w:p>
    <w:p w:rsidR="0061168B" w:rsidRDefault="004A390A" w:rsidP="00DF67EE">
      <w:pPr>
        <w:spacing w:after="0" w:line="240" w:lineRule="auto"/>
      </w:pPr>
      <w:r>
        <w:rPr>
          <w:b/>
        </w:rPr>
        <w:t xml:space="preserve">Landscape: </w:t>
      </w:r>
      <w:r>
        <w:t xml:space="preserve">The board has been notified of a diseased tree in front of Units # 41 and 43 which became unwell very quickly.  All efforts will be made to save the tree. Raylene at Trimacs will be contacted to learn what options are available.  In addition, the arborist who trimmed the tree last year will be asked to consult and what can be done to save the tree.  Evan will take </w:t>
      </w:r>
      <w:r w:rsidR="005011C2">
        <w:t xml:space="preserve">the lead on communicating with </w:t>
      </w:r>
      <w:r>
        <w:t>our landscape advisors and specialist.</w:t>
      </w:r>
    </w:p>
    <w:p w:rsidR="004A390A" w:rsidRDefault="004A390A" w:rsidP="00DF67EE">
      <w:pPr>
        <w:spacing w:after="0" w:line="240" w:lineRule="auto"/>
      </w:pPr>
    </w:p>
    <w:p w:rsidR="009145CA" w:rsidRDefault="004A390A" w:rsidP="00DF67EE">
      <w:pPr>
        <w:spacing w:after="0" w:line="240" w:lineRule="auto"/>
      </w:pPr>
      <w:r w:rsidRPr="004A390A">
        <w:rPr>
          <w:b/>
        </w:rPr>
        <w:t xml:space="preserve">Mailboxes: </w:t>
      </w:r>
      <w:r>
        <w:rPr>
          <w:b/>
        </w:rPr>
        <w:t xml:space="preserve"> </w:t>
      </w:r>
      <w:r w:rsidRPr="009145CA">
        <w:t xml:space="preserve">A neighbor </w:t>
      </w:r>
      <w:r w:rsidR="009145CA" w:rsidRPr="009145CA">
        <w:t xml:space="preserve">has written the </w:t>
      </w:r>
      <w:r w:rsidR="009145CA">
        <w:t xml:space="preserve">HOA board </w:t>
      </w:r>
      <w:r w:rsidR="009145CA" w:rsidRPr="009145CA">
        <w:t>pointing out the mailboxes on the street are no longer safe, as they do not have locks</w:t>
      </w:r>
      <w:r w:rsidR="009145CA">
        <w:t xml:space="preserve"> that secure the delivered mail or packages</w:t>
      </w:r>
      <w:r w:rsidR="009145CA" w:rsidRPr="009145CA">
        <w:t xml:space="preserve">.  In addition, </w:t>
      </w:r>
      <w:r w:rsidR="009145CA">
        <w:t>they are now nearly 20 years old and in need of replacement.   This recent inquiry follows previous requests from other homeowners</w:t>
      </w:r>
      <w:r w:rsidR="005011C2">
        <w:t>.  T</w:t>
      </w:r>
      <w:r w:rsidR="009145CA">
        <w:t xml:space="preserve">he board understands there is general consensus of homeowners that </w:t>
      </w:r>
      <w:r w:rsidR="009145CA">
        <w:lastRenderedPageBreak/>
        <w:t xml:space="preserve">replacement time is near.  The HOA reserve fund has set aside up to $8,000 to identify new, secure mail boxes and have them installed with the current mailboxes also disposed.   The board is in full support of proceeding with program of replacement. </w:t>
      </w:r>
    </w:p>
    <w:p w:rsidR="00A13FA6" w:rsidRDefault="00A13FA6" w:rsidP="009145CA">
      <w:pPr>
        <w:spacing w:after="0" w:line="240" w:lineRule="auto"/>
      </w:pPr>
    </w:p>
    <w:p w:rsidR="009145CA" w:rsidRDefault="009145CA" w:rsidP="009145CA">
      <w:pPr>
        <w:spacing w:after="0" w:line="240" w:lineRule="auto"/>
      </w:pPr>
      <w:r w:rsidRPr="009145CA">
        <w:rPr>
          <w:b/>
        </w:rPr>
        <w:t>Requesting Volunteer</w:t>
      </w:r>
      <w:r w:rsidRPr="009145CA">
        <w:rPr>
          <w:b/>
        </w:rPr>
        <w:t>(</w:t>
      </w:r>
      <w:r w:rsidRPr="009145CA">
        <w:rPr>
          <w:b/>
        </w:rPr>
        <w:t>s</w:t>
      </w:r>
      <w:r w:rsidRPr="009145CA">
        <w:rPr>
          <w:b/>
        </w:rPr>
        <w:t>)</w:t>
      </w:r>
      <w:r w:rsidRPr="009145CA">
        <w:rPr>
          <w:b/>
        </w:rPr>
        <w:t>:</w:t>
      </w:r>
      <w:r w:rsidRPr="009145CA">
        <w:t xml:space="preserve"> </w:t>
      </w:r>
      <w:r>
        <w:t xml:space="preserve"> Given the small size of the current board we are inviting any interested owners who would like to take on the “mail box project” to email Steve Willoughby with an interest.  A volunteer can take on the full project if he/she likes to work alone or can work in a team with others.  </w:t>
      </w:r>
    </w:p>
    <w:p w:rsidR="009145CA" w:rsidRPr="009145CA" w:rsidRDefault="009145CA" w:rsidP="009145CA">
      <w:pPr>
        <w:spacing w:after="0" w:line="240" w:lineRule="auto"/>
      </w:pPr>
      <w:r>
        <w:t>The initial phase of the project would be to identify mail box options (choices) and a budget for cost, installation and haul away to be presented to the board</w:t>
      </w:r>
      <w:r w:rsidR="00A13FA6">
        <w:t xml:space="preserve"> for review and approval</w:t>
      </w:r>
      <w:bookmarkStart w:id="0" w:name="_GoBack"/>
      <w:bookmarkEnd w:id="0"/>
      <w:r>
        <w:t xml:space="preserve">.  </w:t>
      </w:r>
    </w:p>
    <w:p w:rsidR="009145CA" w:rsidRDefault="009145CA" w:rsidP="00DF67EE">
      <w:pPr>
        <w:spacing w:after="0" w:line="240" w:lineRule="auto"/>
      </w:pPr>
    </w:p>
    <w:p w:rsidR="00791BF8" w:rsidRPr="005011C2" w:rsidRDefault="005011C2" w:rsidP="00DF67EE">
      <w:pPr>
        <w:spacing w:after="0" w:line="240" w:lineRule="auto"/>
      </w:pPr>
      <w:r w:rsidRPr="005011C2">
        <w:rPr>
          <w:b/>
        </w:rPr>
        <w:t xml:space="preserve">Street Pavement: </w:t>
      </w:r>
      <w:r>
        <w:rPr>
          <w:b/>
        </w:rPr>
        <w:t xml:space="preserve"> </w:t>
      </w:r>
      <w:r w:rsidRPr="005011C2">
        <w:t>Steve</w:t>
      </w:r>
      <w:r>
        <w:t xml:space="preserve"> has been contacting contractors who have a solid reputation in street resurfacing to secure quotes.  Resurfacing would be conducted after the sewer lateral work is completed and inspected.  </w:t>
      </w:r>
    </w:p>
    <w:p w:rsidR="00891D39" w:rsidRDefault="00891D39" w:rsidP="00DF67EE">
      <w:pPr>
        <w:spacing w:after="0" w:line="240" w:lineRule="auto"/>
      </w:pPr>
    </w:p>
    <w:p w:rsidR="00CA1419" w:rsidRDefault="00CA1419" w:rsidP="00F6755B">
      <w:pPr>
        <w:spacing w:after="0" w:line="240" w:lineRule="auto"/>
      </w:pPr>
      <w:r>
        <w:rPr>
          <w:b/>
        </w:rPr>
        <w:t xml:space="preserve">Next </w:t>
      </w:r>
      <w:r w:rsidR="008C5ECC" w:rsidRPr="008C5ECC">
        <w:rPr>
          <w:b/>
        </w:rPr>
        <w:t xml:space="preserve">board meeting:  </w:t>
      </w:r>
      <w:r w:rsidRPr="00CA1419">
        <w:t>Is scheduled for Monday,</w:t>
      </w:r>
      <w:r w:rsidR="005E0B8E">
        <w:t xml:space="preserve"> </w:t>
      </w:r>
      <w:r w:rsidR="005011C2">
        <w:t>September 22</w:t>
      </w:r>
      <w:r w:rsidR="003D7BA2">
        <w:t xml:space="preserve"> </w:t>
      </w:r>
      <w:r w:rsidRPr="00CA1419">
        <w:t>at 7:00 pm</w:t>
      </w:r>
      <w:r>
        <w:rPr>
          <w:b/>
        </w:rPr>
        <w:t xml:space="preserve"> </w:t>
      </w:r>
      <w:r w:rsidR="00F6755B">
        <w:t>at the Highlands Country Club</w:t>
      </w:r>
      <w:r>
        <w:t xml:space="preserve">. </w:t>
      </w:r>
      <w:r w:rsidR="00F6755B">
        <w:t xml:space="preserve"> </w:t>
      </w:r>
    </w:p>
    <w:p w:rsidR="00F6755B" w:rsidRDefault="00F6755B" w:rsidP="00F6755B">
      <w:pPr>
        <w:spacing w:after="0" w:line="240" w:lineRule="auto"/>
        <w:rPr>
          <w:b/>
        </w:rPr>
      </w:pPr>
    </w:p>
    <w:p w:rsidR="00DE5F55" w:rsidRDefault="00E03545" w:rsidP="00154362">
      <w:pPr>
        <w:spacing w:after="0" w:line="240" w:lineRule="auto"/>
      </w:pPr>
      <w:r>
        <w:t>Meeting adjourned.</w:t>
      </w:r>
    </w:p>
    <w:p w:rsidR="00B52A84" w:rsidRDefault="00B52A84" w:rsidP="00154362">
      <w:pPr>
        <w:spacing w:after="0" w:line="240" w:lineRule="auto"/>
      </w:pPr>
    </w:p>
    <w:p w:rsidR="00AD36D8" w:rsidRDefault="00DE5F55" w:rsidP="00154362">
      <w:pPr>
        <w:spacing w:after="0" w:line="240" w:lineRule="auto"/>
      </w:pPr>
      <w:r>
        <w:t>Respectfully submitted,</w:t>
      </w:r>
    </w:p>
    <w:p w:rsidR="00C1151C" w:rsidRDefault="00C1151C" w:rsidP="00154362">
      <w:pPr>
        <w:spacing w:after="0" w:line="240" w:lineRule="auto"/>
      </w:pPr>
    </w:p>
    <w:p w:rsidR="002F6DDF" w:rsidRDefault="002F6DDF" w:rsidP="00154362">
      <w:pPr>
        <w:spacing w:after="0" w:line="240" w:lineRule="auto"/>
      </w:pPr>
      <w:r>
        <w:t>Carole Anderson, Secretary</w:t>
      </w:r>
    </w:p>
    <w:sectPr w:rsidR="002F6DDF" w:rsidSect="00CA141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1C0" w:rsidRDefault="00A151C0" w:rsidP="00954801">
      <w:pPr>
        <w:spacing w:after="0" w:line="240" w:lineRule="auto"/>
      </w:pPr>
      <w:r>
        <w:separator/>
      </w:r>
    </w:p>
  </w:endnote>
  <w:endnote w:type="continuationSeparator" w:id="0">
    <w:p w:rsidR="00A151C0" w:rsidRDefault="00A151C0" w:rsidP="00954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55" w:rsidRDefault="00662B31">
    <w:pPr>
      <w:pStyle w:val="Footer"/>
      <w:jc w:val="right"/>
    </w:pPr>
    <w:r>
      <w:fldChar w:fldCharType="begin"/>
    </w:r>
    <w:r>
      <w:instrText xml:space="preserve"> PAGE   \* MERGEFORMAT </w:instrText>
    </w:r>
    <w:r>
      <w:fldChar w:fldCharType="separate"/>
    </w:r>
    <w:r w:rsidR="00A13FA6">
      <w:rPr>
        <w:noProof/>
      </w:rPr>
      <w:t>2</w:t>
    </w:r>
    <w:r>
      <w:rPr>
        <w:noProof/>
      </w:rPr>
      <w:fldChar w:fldCharType="end"/>
    </w:r>
  </w:p>
  <w:p w:rsidR="00DE5F55" w:rsidRDefault="00DE5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1C0" w:rsidRDefault="00A151C0" w:rsidP="00954801">
      <w:pPr>
        <w:spacing w:after="0" w:line="240" w:lineRule="auto"/>
      </w:pPr>
      <w:r>
        <w:separator/>
      </w:r>
    </w:p>
  </w:footnote>
  <w:footnote w:type="continuationSeparator" w:id="0">
    <w:p w:rsidR="00A151C0" w:rsidRDefault="00A151C0" w:rsidP="009548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E26CF"/>
    <w:multiLevelType w:val="hybridMultilevel"/>
    <w:tmpl w:val="2EBE7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28F53D2"/>
    <w:multiLevelType w:val="hybridMultilevel"/>
    <w:tmpl w:val="34BEA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FA7"/>
    <w:rsid w:val="000B68ED"/>
    <w:rsid w:val="000E6C1F"/>
    <w:rsid w:val="0011338C"/>
    <w:rsid w:val="00134C09"/>
    <w:rsid w:val="00140477"/>
    <w:rsid w:val="001469B8"/>
    <w:rsid w:val="00152368"/>
    <w:rsid w:val="00154362"/>
    <w:rsid w:val="00176673"/>
    <w:rsid w:val="001C15BB"/>
    <w:rsid w:val="001F5FF8"/>
    <w:rsid w:val="002113C6"/>
    <w:rsid w:val="00217804"/>
    <w:rsid w:val="0022100B"/>
    <w:rsid w:val="002431AB"/>
    <w:rsid w:val="0028217C"/>
    <w:rsid w:val="002E3EDB"/>
    <w:rsid w:val="002F6DDF"/>
    <w:rsid w:val="00304294"/>
    <w:rsid w:val="003726C7"/>
    <w:rsid w:val="003B0192"/>
    <w:rsid w:val="003C4E4A"/>
    <w:rsid w:val="003D390C"/>
    <w:rsid w:val="003D7BA2"/>
    <w:rsid w:val="003F7D59"/>
    <w:rsid w:val="004260D4"/>
    <w:rsid w:val="004513E4"/>
    <w:rsid w:val="00454700"/>
    <w:rsid w:val="004A390A"/>
    <w:rsid w:val="004B1D8A"/>
    <w:rsid w:val="004D38DC"/>
    <w:rsid w:val="004F309A"/>
    <w:rsid w:val="005011C2"/>
    <w:rsid w:val="00557AFF"/>
    <w:rsid w:val="00567683"/>
    <w:rsid w:val="005B7E6D"/>
    <w:rsid w:val="005C5248"/>
    <w:rsid w:val="005D4174"/>
    <w:rsid w:val="005E0B8E"/>
    <w:rsid w:val="005E4A73"/>
    <w:rsid w:val="00600F4C"/>
    <w:rsid w:val="0061168B"/>
    <w:rsid w:val="00617FC1"/>
    <w:rsid w:val="0063606E"/>
    <w:rsid w:val="00636F42"/>
    <w:rsid w:val="00652753"/>
    <w:rsid w:val="00657CAF"/>
    <w:rsid w:val="00662B31"/>
    <w:rsid w:val="00670C8C"/>
    <w:rsid w:val="00690BB4"/>
    <w:rsid w:val="00695276"/>
    <w:rsid w:val="006A417F"/>
    <w:rsid w:val="006C2732"/>
    <w:rsid w:val="006D6E32"/>
    <w:rsid w:val="00711B2C"/>
    <w:rsid w:val="00725FB5"/>
    <w:rsid w:val="007324A6"/>
    <w:rsid w:val="007835DD"/>
    <w:rsid w:val="00791BF8"/>
    <w:rsid w:val="007A3DC2"/>
    <w:rsid w:val="007B544F"/>
    <w:rsid w:val="007C2B9D"/>
    <w:rsid w:val="007D5E69"/>
    <w:rsid w:val="0080579B"/>
    <w:rsid w:val="00825C59"/>
    <w:rsid w:val="00843018"/>
    <w:rsid w:val="00855997"/>
    <w:rsid w:val="00886A7F"/>
    <w:rsid w:val="00891D39"/>
    <w:rsid w:val="00891EC0"/>
    <w:rsid w:val="008929D6"/>
    <w:rsid w:val="008C5ECC"/>
    <w:rsid w:val="009145CA"/>
    <w:rsid w:val="00954801"/>
    <w:rsid w:val="00955F21"/>
    <w:rsid w:val="00975350"/>
    <w:rsid w:val="00987D3F"/>
    <w:rsid w:val="0099768E"/>
    <w:rsid w:val="009B69BD"/>
    <w:rsid w:val="00A07B68"/>
    <w:rsid w:val="00A07E9C"/>
    <w:rsid w:val="00A13FA6"/>
    <w:rsid w:val="00A151C0"/>
    <w:rsid w:val="00A479F7"/>
    <w:rsid w:val="00AB43C7"/>
    <w:rsid w:val="00AC7061"/>
    <w:rsid w:val="00AD298B"/>
    <w:rsid w:val="00AD36D8"/>
    <w:rsid w:val="00B1620B"/>
    <w:rsid w:val="00B227AA"/>
    <w:rsid w:val="00B26F56"/>
    <w:rsid w:val="00B44B1D"/>
    <w:rsid w:val="00B45AE9"/>
    <w:rsid w:val="00B52A84"/>
    <w:rsid w:val="00B835F7"/>
    <w:rsid w:val="00B94D73"/>
    <w:rsid w:val="00BA02E8"/>
    <w:rsid w:val="00BA1686"/>
    <w:rsid w:val="00BA526C"/>
    <w:rsid w:val="00BA6E38"/>
    <w:rsid w:val="00BE5139"/>
    <w:rsid w:val="00BE5EE4"/>
    <w:rsid w:val="00C01663"/>
    <w:rsid w:val="00C063B2"/>
    <w:rsid w:val="00C1151C"/>
    <w:rsid w:val="00C404F3"/>
    <w:rsid w:val="00C52359"/>
    <w:rsid w:val="00C77F8D"/>
    <w:rsid w:val="00C96722"/>
    <w:rsid w:val="00CA1419"/>
    <w:rsid w:val="00CB400E"/>
    <w:rsid w:val="00CB4538"/>
    <w:rsid w:val="00CC65C8"/>
    <w:rsid w:val="00CD3B04"/>
    <w:rsid w:val="00CE23A1"/>
    <w:rsid w:val="00CE5CB0"/>
    <w:rsid w:val="00D12FC9"/>
    <w:rsid w:val="00D14194"/>
    <w:rsid w:val="00D31295"/>
    <w:rsid w:val="00D41BFD"/>
    <w:rsid w:val="00D55E14"/>
    <w:rsid w:val="00D63B00"/>
    <w:rsid w:val="00D900A3"/>
    <w:rsid w:val="00D90FC0"/>
    <w:rsid w:val="00D94202"/>
    <w:rsid w:val="00DE5F55"/>
    <w:rsid w:val="00DF67EE"/>
    <w:rsid w:val="00E0239A"/>
    <w:rsid w:val="00E03545"/>
    <w:rsid w:val="00E32470"/>
    <w:rsid w:val="00E35CCE"/>
    <w:rsid w:val="00E576B2"/>
    <w:rsid w:val="00E61FF9"/>
    <w:rsid w:val="00E63FA7"/>
    <w:rsid w:val="00EB04CC"/>
    <w:rsid w:val="00F547C1"/>
    <w:rsid w:val="00F6755B"/>
    <w:rsid w:val="00F83DE3"/>
    <w:rsid w:val="00FB63E3"/>
    <w:rsid w:val="00FC34A4"/>
    <w:rsid w:val="00FE6C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B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17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54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801"/>
    <w:rPr>
      <w:rFonts w:cs="Times New Roman"/>
    </w:rPr>
  </w:style>
  <w:style w:type="paragraph" w:styleId="Footer">
    <w:name w:val="footer"/>
    <w:basedOn w:val="Normal"/>
    <w:link w:val="FooterChar"/>
    <w:uiPriority w:val="99"/>
    <w:semiHidden/>
    <w:rsid w:val="00954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801"/>
    <w:rPr>
      <w:rFonts w:cs="Times New Roman"/>
    </w:rPr>
  </w:style>
  <w:style w:type="paragraph" w:styleId="BalloonText">
    <w:name w:val="Balloon Text"/>
    <w:basedOn w:val="Normal"/>
    <w:link w:val="BalloonTextChar"/>
    <w:uiPriority w:val="99"/>
    <w:semiHidden/>
    <w:rsid w:val="00954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801"/>
    <w:rPr>
      <w:rFonts w:ascii="Tahoma" w:hAnsi="Tahoma" w:cs="Tahoma"/>
      <w:sz w:val="16"/>
    </w:rPr>
  </w:style>
  <w:style w:type="paragraph" w:styleId="ListParagraph">
    <w:name w:val="List Paragraph"/>
    <w:basedOn w:val="Normal"/>
    <w:uiPriority w:val="34"/>
    <w:qFormat/>
    <w:rsid w:val="00636F42"/>
    <w:pPr>
      <w:spacing w:after="0" w:line="240" w:lineRule="auto"/>
      <w:ind w:left="720"/>
    </w:pPr>
    <w:rPr>
      <w:rFonts w:ascii="Times New Roman" w:eastAsiaTheme="minorHAnsi" w:hAnsi="Times New Roman"/>
      <w:sz w:val="24"/>
      <w:szCs w:val="24"/>
    </w:rPr>
  </w:style>
  <w:style w:type="paragraph" w:styleId="PlainText">
    <w:name w:val="Plain Text"/>
    <w:basedOn w:val="Normal"/>
    <w:link w:val="PlainTextChar"/>
    <w:uiPriority w:val="99"/>
    <w:semiHidden/>
    <w:unhideWhenUsed/>
    <w:rsid w:val="00154362"/>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154362"/>
    <w:rPr>
      <w:rFonts w:eastAsiaTheme="minorHAns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B6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17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54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801"/>
    <w:rPr>
      <w:rFonts w:cs="Times New Roman"/>
    </w:rPr>
  </w:style>
  <w:style w:type="paragraph" w:styleId="Footer">
    <w:name w:val="footer"/>
    <w:basedOn w:val="Normal"/>
    <w:link w:val="FooterChar"/>
    <w:uiPriority w:val="99"/>
    <w:semiHidden/>
    <w:rsid w:val="00954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801"/>
    <w:rPr>
      <w:rFonts w:cs="Times New Roman"/>
    </w:rPr>
  </w:style>
  <w:style w:type="paragraph" w:styleId="BalloonText">
    <w:name w:val="Balloon Text"/>
    <w:basedOn w:val="Normal"/>
    <w:link w:val="BalloonTextChar"/>
    <w:uiPriority w:val="99"/>
    <w:semiHidden/>
    <w:rsid w:val="00954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801"/>
    <w:rPr>
      <w:rFonts w:ascii="Tahoma" w:hAnsi="Tahoma" w:cs="Tahoma"/>
      <w:sz w:val="16"/>
    </w:rPr>
  </w:style>
  <w:style w:type="paragraph" w:styleId="ListParagraph">
    <w:name w:val="List Paragraph"/>
    <w:basedOn w:val="Normal"/>
    <w:uiPriority w:val="34"/>
    <w:qFormat/>
    <w:rsid w:val="00636F42"/>
    <w:pPr>
      <w:spacing w:after="0" w:line="240" w:lineRule="auto"/>
      <w:ind w:left="720"/>
    </w:pPr>
    <w:rPr>
      <w:rFonts w:ascii="Times New Roman" w:eastAsiaTheme="minorHAnsi" w:hAnsi="Times New Roman"/>
      <w:sz w:val="24"/>
      <w:szCs w:val="24"/>
    </w:rPr>
  </w:style>
  <w:style w:type="paragraph" w:styleId="PlainText">
    <w:name w:val="Plain Text"/>
    <w:basedOn w:val="Normal"/>
    <w:link w:val="PlainTextChar"/>
    <w:uiPriority w:val="99"/>
    <w:semiHidden/>
    <w:unhideWhenUsed/>
    <w:rsid w:val="00154362"/>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154362"/>
    <w:rPr>
      <w:rFonts w:eastAsiaTheme="minorHAns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0471">
      <w:bodyDiv w:val="1"/>
      <w:marLeft w:val="0"/>
      <w:marRight w:val="0"/>
      <w:marTop w:val="0"/>
      <w:marBottom w:val="0"/>
      <w:divBdr>
        <w:top w:val="none" w:sz="0" w:space="0" w:color="auto"/>
        <w:left w:val="none" w:sz="0" w:space="0" w:color="auto"/>
        <w:bottom w:val="none" w:sz="0" w:space="0" w:color="auto"/>
        <w:right w:val="none" w:sz="0" w:space="0" w:color="auto"/>
      </w:divBdr>
    </w:div>
    <w:div w:id="648285129">
      <w:bodyDiv w:val="1"/>
      <w:marLeft w:val="0"/>
      <w:marRight w:val="0"/>
      <w:marTop w:val="0"/>
      <w:marBottom w:val="0"/>
      <w:divBdr>
        <w:top w:val="none" w:sz="0" w:space="0" w:color="auto"/>
        <w:left w:val="none" w:sz="0" w:space="0" w:color="auto"/>
        <w:bottom w:val="none" w:sz="0" w:space="0" w:color="auto"/>
        <w:right w:val="none" w:sz="0" w:space="0" w:color="auto"/>
      </w:divBdr>
    </w:div>
    <w:div w:id="699477949">
      <w:bodyDiv w:val="1"/>
      <w:marLeft w:val="0"/>
      <w:marRight w:val="0"/>
      <w:marTop w:val="0"/>
      <w:marBottom w:val="0"/>
      <w:divBdr>
        <w:top w:val="none" w:sz="0" w:space="0" w:color="auto"/>
        <w:left w:val="none" w:sz="0" w:space="0" w:color="auto"/>
        <w:bottom w:val="none" w:sz="0" w:space="0" w:color="auto"/>
        <w:right w:val="none" w:sz="0" w:space="0" w:color="auto"/>
      </w:divBdr>
    </w:div>
    <w:div w:id="955797042">
      <w:bodyDiv w:val="1"/>
      <w:marLeft w:val="0"/>
      <w:marRight w:val="0"/>
      <w:marTop w:val="0"/>
      <w:marBottom w:val="0"/>
      <w:divBdr>
        <w:top w:val="none" w:sz="0" w:space="0" w:color="auto"/>
        <w:left w:val="none" w:sz="0" w:space="0" w:color="auto"/>
        <w:bottom w:val="none" w:sz="0" w:space="0" w:color="auto"/>
        <w:right w:val="none" w:sz="0" w:space="0" w:color="auto"/>
      </w:divBdr>
    </w:div>
    <w:div w:id="1307735028">
      <w:bodyDiv w:val="1"/>
      <w:marLeft w:val="0"/>
      <w:marRight w:val="0"/>
      <w:marTop w:val="0"/>
      <w:marBottom w:val="0"/>
      <w:divBdr>
        <w:top w:val="none" w:sz="0" w:space="0" w:color="auto"/>
        <w:left w:val="none" w:sz="0" w:space="0" w:color="auto"/>
        <w:bottom w:val="none" w:sz="0" w:space="0" w:color="auto"/>
        <w:right w:val="none" w:sz="0" w:space="0" w:color="auto"/>
      </w:divBdr>
    </w:div>
    <w:div w:id="1315525483">
      <w:bodyDiv w:val="1"/>
      <w:marLeft w:val="0"/>
      <w:marRight w:val="0"/>
      <w:marTop w:val="0"/>
      <w:marBottom w:val="0"/>
      <w:divBdr>
        <w:top w:val="none" w:sz="0" w:space="0" w:color="auto"/>
        <w:left w:val="none" w:sz="0" w:space="0" w:color="auto"/>
        <w:bottom w:val="none" w:sz="0" w:space="0" w:color="auto"/>
        <w:right w:val="none" w:sz="0" w:space="0" w:color="auto"/>
      </w:divBdr>
    </w:div>
    <w:div w:id="1387794770">
      <w:bodyDiv w:val="1"/>
      <w:marLeft w:val="0"/>
      <w:marRight w:val="0"/>
      <w:marTop w:val="0"/>
      <w:marBottom w:val="0"/>
      <w:divBdr>
        <w:top w:val="none" w:sz="0" w:space="0" w:color="auto"/>
        <w:left w:val="none" w:sz="0" w:space="0" w:color="auto"/>
        <w:bottom w:val="none" w:sz="0" w:space="0" w:color="auto"/>
        <w:right w:val="none" w:sz="0" w:space="0" w:color="auto"/>
      </w:divBdr>
    </w:div>
    <w:div w:id="1391928428">
      <w:bodyDiv w:val="1"/>
      <w:marLeft w:val="0"/>
      <w:marRight w:val="0"/>
      <w:marTop w:val="0"/>
      <w:marBottom w:val="0"/>
      <w:divBdr>
        <w:top w:val="none" w:sz="0" w:space="0" w:color="auto"/>
        <w:left w:val="none" w:sz="0" w:space="0" w:color="auto"/>
        <w:bottom w:val="none" w:sz="0" w:space="0" w:color="auto"/>
        <w:right w:val="none" w:sz="0" w:space="0" w:color="auto"/>
      </w:divBdr>
    </w:div>
    <w:div w:id="1458403154">
      <w:bodyDiv w:val="1"/>
      <w:marLeft w:val="0"/>
      <w:marRight w:val="0"/>
      <w:marTop w:val="0"/>
      <w:marBottom w:val="0"/>
      <w:divBdr>
        <w:top w:val="none" w:sz="0" w:space="0" w:color="auto"/>
        <w:left w:val="none" w:sz="0" w:space="0" w:color="auto"/>
        <w:bottom w:val="none" w:sz="0" w:space="0" w:color="auto"/>
        <w:right w:val="none" w:sz="0" w:space="0" w:color="auto"/>
      </w:divBdr>
    </w:div>
    <w:div w:id="1732656588">
      <w:bodyDiv w:val="1"/>
      <w:marLeft w:val="0"/>
      <w:marRight w:val="0"/>
      <w:marTop w:val="0"/>
      <w:marBottom w:val="0"/>
      <w:divBdr>
        <w:top w:val="none" w:sz="0" w:space="0" w:color="auto"/>
        <w:left w:val="none" w:sz="0" w:space="0" w:color="auto"/>
        <w:bottom w:val="none" w:sz="0" w:space="0" w:color="auto"/>
        <w:right w:val="none" w:sz="0" w:space="0" w:color="auto"/>
      </w:divBdr>
    </w:div>
    <w:div w:id="2010525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Hiller Highlands Phase I Board Meeting</vt:lpstr>
    </vt:vector>
  </TitlesOfParts>
  <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Hiller Highlands Phase I Board Meeting</dc:title>
  <dc:creator>Carole Anderson</dc:creator>
  <cp:lastModifiedBy>Carole Anderson</cp:lastModifiedBy>
  <cp:revision>4</cp:revision>
  <cp:lastPrinted>2013-08-22T21:43:00Z</cp:lastPrinted>
  <dcterms:created xsi:type="dcterms:W3CDTF">2014-08-19T22:04:00Z</dcterms:created>
  <dcterms:modified xsi:type="dcterms:W3CDTF">2014-08-19T22:33:00Z</dcterms:modified>
</cp:coreProperties>
</file>