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E63FA7" w:rsidRDefault="00DE5F55" w:rsidP="00E63FA7">
      <w:pPr>
        <w:spacing w:after="0"/>
        <w:jc w:val="center"/>
        <w:rPr>
          <w:b/>
        </w:rPr>
      </w:pPr>
      <w:r w:rsidRPr="00E63FA7">
        <w:rPr>
          <w:b/>
        </w:rPr>
        <w:t>Hiller Highlands Phase I Board Meeting</w:t>
      </w:r>
    </w:p>
    <w:p w:rsidR="00DE5F55" w:rsidRDefault="00E35CCE" w:rsidP="00C1151C">
      <w:pPr>
        <w:spacing w:after="0"/>
        <w:jc w:val="center"/>
        <w:rPr>
          <w:b/>
        </w:rPr>
      </w:pPr>
      <w:r>
        <w:rPr>
          <w:b/>
        </w:rPr>
        <w:t>Monday,</w:t>
      </w:r>
      <w:r w:rsidR="0061168B">
        <w:rPr>
          <w:b/>
        </w:rPr>
        <w:t xml:space="preserve"> June 9</w:t>
      </w:r>
      <w:r w:rsidR="00CA1419">
        <w:rPr>
          <w:b/>
        </w:rPr>
        <w:t xml:space="preserve">, 2014 – 7:00 </w:t>
      </w:r>
      <w:r w:rsidR="00E03545">
        <w:rPr>
          <w:b/>
        </w:rPr>
        <w:t>pm</w:t>
      </w:r>
      <w:r w:rsidR="00C1151C">
        <w:rPr>
          <w:b/>
        </w:rPr>
        <w:t>/</w:t>
      </w:r>
      <w:r w:rsidR="00DE5F55" w:rsidRPr="00E63FA7">
        <w:rPr>
          <w:b/>
        </w:rPr>
        <w:t>Highlands Country Club</w:t>
      </w:r>
    </w:p>
    <w:p w:rsidR="00DE5F55" w:rsidRDefault="00DE5F55" w:rsidP="00E63FA7">
      <w:pPr>
        <w:spacing w:after="0"/>
        <w:jc w:val="center"/>
        <w:rPr>
          <w:b/>
        </w:rPr>
      </w:pPr>
      <w:r>
        <w:rPr>
          <w:b/>
        </w:rPr>
        <w:t>Minutes of that Meeting</w:t>
      </w:r>
    </w:p>
    <w:p w:rsidR="00C1151C" w:rsidRDefault="00C1151C" w:rsidP="003D390C">
      <w:pPr>
        <w:spacing w:after="0" w:line="240" w:lineRule="auto"/>
        <w:rPr>
          <w:b/>
        </w:rPr>
      </w:pPr>
    </w:p>
    <w:p w:rsidR="00E03545" w:rsidRDefault="00DE5F55" w:rsidP="003D390C">
      <w:pPr>
        <w:spacing w:after="0" w:line="240" w:lineRule="auto"/>
      </w:pPr>
      <w:r w:rsidRPr="004260D4">
        <w:rPr>
          <w:b/>
        </w:rPr>
        <w:t>Present:</w:t>
      </w:r>
      <w:r w:rsidRPr="00E63FA7">
        <w:t xml:space="preserve"> </w:t>
      </w:r>
      <w:r>
        <w:t>Chuck Scurich, Treasurer;</w:t>
      </w:r>
      <w:r w:rsidR="00BA6E38">
        <w:t xml:space="preserve"> Carole Anderson;</w:t>
      </w:r>
      <w:r w:rsidR="00D31295">
        <w:t xml:space="preserve"> Secretary; </w:t>
      </w:r>
      <w:r w:rsidR="00BA526C">
        <w:t>Steve Willoughby, President</w:t>
      </w:r>
      <w:r w:rsidR="0061168B">
        <w:t xml:space="preserve">; and </w:t>
      </w:r>
    </w:p>
    <w:p w:rsidR="00BA6E38" w:rsidRDefault="00152368" w:rsidP="003D390C">
      <w:pPr>
        <w:spacing w:after="0" w:line="240" w:lineRule="auto"/>
      </w:pPr>
      <w:r>
        <w:t>Hanna Levenson, Member-at-Large</w:t>
      </w:r>
    </w:p>
    <w:p w:rsidR="00BA6E38" w:rsidRDefault="00BA6E38" w:rsidP="003D390C">
      <w:pPr>
        <w:spacing w:after="0" w:line="240" w:lineRule="auto"/>
      </w:pPr>
    </w:p>
    <w:p w:rsidR="00DE5F55" w:rsidRDefault="00DE5F55" w:rsidP="00154362">
      <w:pPr>
        <w:spacing w:after="0" w:line="240" w:lineRule="auto"/>
      </w:pPr>
      <w:r w:rsidRPr="004260D4">
        <w:rPr>
          <w:b/>
        </w:rPr>
        <w:t>Call to Order:</w:t>
      </w:r>
      <w:r>
        <w:t xml:space="preserve">  The mee</w:t>
      </w:r>
      <w:r w:rsidR="00CA1419">
        <w:t>ting was called to order at 7:00</w:t>
      </w:r>
      <w:r>
        <w:t xml:space="preserve"> pm </w:t>
      </w:r>
    </w:p>
    <w:p w:rsidR="00DE5F55" w:rsidRDefault="00DE5F55" w:rsidP="00154362">
      <w:pPr>
        <w:spacing w:after="0" w:line="240" w:lineRule="auto"/>
      </w:pPr>
    </w:p>
    <w:p w:rsidR="00DE5F55" w:rsidRDefault="00DE5F55" w:rsidP="00154362">
      <w:pPr>
        <w:spacing w:after="0" w:line="240" w:lineRule="auto"/>
      </w:pPr>
      <w:r w:rsidRPr="004260D4">
        <w:rPr>
          <w:b/>
        </w:rPr>
        <w:t xml:space="preserve">Approval of </w:t>
      </w:r>
      <w:r w:rsidR="00E03545">
        <w:rPr>
          <w:b/>
        </w:rPr>
        <w:t xml:space="preserve">March </w:t>
      </w:r>
      <w:r w:rsidRPr="004260D4">
        <w:rPr>
          <w:b/>
        </w:rPr>
        <w:t xml:space="preserve">HOA Minutes: </w:t>
      </w:r>
      <w:r>
        <w:rPr>
          <w:b/>
        </w:rPr>
        <w:t xml:space="preserve"> </w:t>
      </w:r>
      <w:r w:rsidR="00BE5139">
        <w:t>T</w:t>
      </w:r>
      <w:r>
        <w:t xml:space="preserve">he minutes of the </w:t>
      </w:r>
      <w:r w:rsidR="0061168B">
        <w:t xml:space="preserve">April </w:t>
      </w:r>
      <w:r>
        <w:t xml:space="preserve">HOA </w:t>
      </w:r>
      <w:r w:rsidR="00AC7061">
        <w:t xml:space="preserve">board </w:t>
      </w:r>
      <w:r>
        <w:t>meeting were reviewed.  There was a motion to accept the minutes as written and a second to the motion.  The motion carried and the minutes were approved.</w:t>
      </w:r>
    </w:p>
    <w:p w:rsidR="00BA6E38" w:rsidRDefault="00BA6E38" w:rsidP="00154362">
      <w:pPr>
        <w:spacing w:after="0" w:line="240" w:lineRule="auto"/>
      </w:pPr>
    </w:p>
    <w:p w:rsidR="00BA6E38" w:rsidRDefault="00BA6E38" w:rsidP="00154362">
      <w:pPr>
        <w:spacing w:after="0" w:line="240" w:lineRule="auto"/>
      </w:pPr>
      <w:r w:rsidRPr="00BA6E38">
        <w:rPr>
          <w:b/>
        </w:rPr>
        <w:t xml:space="preserve">Call for Additions/Modifications to the Agenda: </w:t>
      </w:r>
      <w:r>
        <w:t xml:space="preserve"> There being</w:t>
      </w:r>
      <w:r w:rsidR="00152368">
        <w:t xml:space="preserve"> no modifications to the </w:t>
      </w:r>
      <w:r w:rsidR="0061168B">
        <w:t>June</w:t>
      </w:r>
      <w:r w:rsidR="00E03545">
        <w:t xml:space="preserve"> </w:t>
      </w:r>
      <w:r>
        <w:t xml:space="preserve">agenda, it was accepted as proposed. </w:t>
      </w:r>
    </w:p>
    <w:p w:rsidR="0061168B" w:rsidRDefault="0061168B" w:rsidP="00154362">
      <w:pPr>
        <w:spacing w:after="0" w:line="240" w:lineRule="auto"/>
      </w:pPr>
    </w:p>
    <w:p w:rsidR="0061168B" w:rsidRPr="0061168B" w:rsidRDefault="0061168B" w:rsidP="00154362">
      <w:pPr>
        <w:spacing w:after="0" w:line="240" w:lineRule="auto"/>
        <w:rPr>
          <w:b/>
        </w:rPr>
      </w:pPr>
      <w:r w:rsidRPr="0061168B">
        <w:rPr>
          <w:b/>
        </w:rPr>
        <w:t>Homeowner’s Forum:</w:t>
      </w:r>
      <w:r>
        <w:rPr>
          <w:b/>
        </w:rPr>
        <w:t xml:space="preserve">  </w:t>
      </w:r>
      <w:r w:rsidRPr="0061168B">
        <w:t>New owner</w:t>
      </w:r>
      <w:r>
        <w:rPr>
          <w:b/>
        </w:rPr>
        <w:t xml:space="preserve"> </w:t>
      </w:r>
      <w:r w:rsidRPr="0061168B">
        <w:t xml:space="preserve">Marlow </w:t>
      </w:r>
      <w:r>
        <w:t xml:space="preserve">Schlindler reported ground cover was up against her house and there was brown and dry brush on the hill above her home.  She requested Trimacs clear the area. The board agreed to work with Trimacs to clear away all brush from the home and hillside. </w:t>
      </w:r>
    </w:p>
    <w:p w:rsidR="008929D6" w:rsidRDefault="008929D6" w:rsidP="001469B8">
      <w:pPr>
        <w:rPr>
          <w:b/>
          <w:color w:val="FF0000"/>
        </w:rPr>
      </w:pPr>
    </w:p>
    <w:p w:rsidR="008929D6" w:rsidRDefault="008929D6" w:rsidP="001469B8">
      <w:pPr>
        <w:rPr>
          <w:b/>
          <w:color w:val="FF0000"/>
        </w:rPr>
      </w:pPr>
      <w:bookmarkStart w:id="0" w:name="_GoBack"/>
      <w:bookmarkEnd w:id="0"/>
      <w:r>
        <w:rPr>
          <w:b/>
          <w:color w:val="FF0000"/>
        </w:rPr>
        <w:t xml:space="preserve">NEW DIRECT DEPOSIT PROGRAM STARTS IMMEDIATELY: </w:t>
      </w:r>
      <w:r>
        <w:rPr>
          <w:color w:val="FF0000"/>
        </w:rPr>
        <w:t xml:space="preserve">The board has voted to begin a new </w:t>
      </w:r>
      <w:r>
        <w:rPr>
          <w:color w:val="FF0000"/>
        </w:rPr>
        <w:t>monthly</w:t>
      </w:r>
      <w:r>
        <w:rPr>
          <w:color w:val="FF0000"/>
        </w:rPr>
        <w:t xml:space="preserve"> dues payment program.  At no cost to the homeowner, each monthly payment will be electronically transferred directly from the homeowner’s bank to the Association’s bank.  The process, also known as </w:t>
      </w:r>
      <w:r>
        <w:rPr>
          <w:color w:val="FF0000"/>
        </w:rPr>
        <w:t>Electronic</w:t>
      </w:r>
      <w:r>
        <w:rPr>
          <w:color w:val="FF0000"/>
        </w:rPr>
        <w:t xml:space="preserve"> Fund Transfer (ETF) is being used by other HOA’s and </w:t>
      </w:r>
      <w:r>
        <w:rPr>
          <w:color w:val="FF0000"/>
        </w:rPr>
        <w:t xml:space="preserve">makes the job of the Treasurer </w:t>
      </w:r>
      <w:r>
        <w:rPr>
          <w:color w:val="FF0000"/>
        </w:rPr>
        <w:t>much easier.  In order to begin this process, our Treasurer, Chuck Scurich, will be in touch with the homeowners to provide them with the necessary form to be filled out and to answer any questions.</w:t>
      </w:r>
    </w:p>
    <w:p w:rsidR="001469B8" w:rsidRPr="00D900A3" w:rsidRDefault="00D900A3" w:rsidP="001469B8">
      <w:pPr>
        <w:rPr>
          <w:b/>
        </w:rPr>
      </w:pPr>
      <w:r w:rsidRPr="00636F42">
        <w:rPr>
          <w:b/>
        </w:rPr>
        <w:t xml:space="preserve">Treasurer’s Report: </w:t>
      </w:r>
      <w:r>
        <w:rPr>
          <w:b/>
        </w:rPr>
        <w:t xml:space="preserve"> </w:t>
      </w:r>
      <w:r w:rsidR="00636F42">
        <w:t xml:space="preserve">Chuck </w:t>
      </w:r>
      <w:r w:rsidR="00711B2C">
        <w:t xml:space="preserve">reported on the current revenue </w:t>
      </w:r>
      <w:r w:rsidR="00D90FC0">
        <w:t>of the HOA</w:t>
      </w:r>
      <w:r w:rsidR="00652753">
        <w:t xml:space="preserve"> and reviewed with the board </w:t>
      </w:r>
      <w:r w:rsidR="00D90FC0">
        <w:t xml:space="preserve">on the </w:t>
      </w:r>
      <w:r w:rsidR="00791BF8">
        <w:t xml:space="preserve">year-to-date expenses. It was reported two homeowners </w:t>
      </w:r>
      <w:r w:rsidR="00791BF8">
        <w:rPr>
          <w:rFonts w:eastAsia="Times New Roman"/>
        </w:rPr>
        <w:t xml:space="preserve">are late with monthly payments. </w:t>
      </w:r>
    </w:p>
    <w:p w:rsidR="00B26F56" w:rsidRDefault="00652753" w:rsidP="00BA526C">
      <w:pPr>
        <w:spacing w:after="0" w:line="240" w:lineRule="auto"/>
      </w:pPr>
      <w:r>
        <w:t xml:space="preserve">Below is the report on revenues. </w:t>
      </w:r>
      <w:r w:rsidR="0028217C">
        <w:t xml:space="preserve">  </w:t>
      </w:r>
      <w:r w:rsidR="00B26F56">
        <w:t xml:space="preserve">There was a motion and </w:t>
      </w:r>
      <w:r w:rsidR="00217804">
        <w:t xml:space="preserve">it was </w:t>
      </w:r>
      <w:r w:rsidR="00B26F56">
        <w:t>second</w:t>
      </w:r>
      <w:r w:rsidR="00217804">
        <w:t>ed to accept the T</w:t>
      </w:r>
      <w:r w:rsidR="00B26F56">
        <w:t xml:space="preserve">reasurer’s report.  The motion was unanimously carried. </w:t>
      </w:r>
    </w:p>
    <w:p w:rsidR="00CA1419" w:rsidRDefault="00791BF8" w:rsidP="00CA1419">
      <w:pPr>
        <w:spacing w:before="59" w:line="280" w:lineRule="exact"/>
        <w:ind w:left="2910"/>
        <w:rPr>
          <w:rFonts w:asciiTheme="majorHAnsi" w:eastAsia="Arial" w:hAnsiTheme="majorHAnsi" w:cs="Arial"/>
          <w:b/>
          <w:position w:val="-1"/>
        </w:rPr>
      </w:pPr>
      <w:r>
        <w:rPr>
          <w:rFonts w:asciiTheme="majorHAnsi" w:eastAsia="Arial" w:hAnsiTheme="majorHAnsi" w:cs="Arial"/>
          <w:b/>
          <w:position w:val="-1"/>
        </w:rPr>
        <w:t>Treasurer's Report as of June 9</w:t>
      </w:r>
      <w:r w:rsidR="00CA1419" w:rsidRPr="00CA1419">
        <w:rPr>
          <w:rFonts w:asciiTheme="majorHAnsi" w:eastAsia="Arial" w:hAnsiTheme="majorHAnsi" w:cs="Arial"/>
          <w:b/>
          <w:position w:val="-1"/>
        </w:rPr>
        <w:t>,</w:t>
      </w:r>
      <w:r w:rsidR="00CA1419" w:rsidRPr="00CA1419">
        <w:rPr>
          <w:rFonts w:asciiTheme="majorHAnsi" w:eastAsia="Arial" w:hAnsiTheme="majorHAnsi" w:cs="Arial"/>
          <w:b/>
          <w:spacing w:val="4"/>
          <w:position w:val="-1"/>
        </w:rPr>
        <w:t xml:space="preserve"> </w:t>
      </w:r>
      <w:r w:rsidR="00CA1419" w:rsidRPr="00CA1419">
        <w:rPr>
          <w:rFonts w:asciiTheme="majorHAnsi" w:eastAsia="Arial" w:hAnsiTheme="majorHAnsi" w:cs="Arial"/>
          <w:b/>
          <w:position w:val="-1"/>
        </w:rPr>
        <w:t>2014</w:t>
      </w:r>
    </w:p>
    <w:tbl>
      <w:tblPr>
        <w:tblW w:w="10125" w:type="dxa"/>
        <w:tblLayout w:type="fixed"/>
        <w:tblCellMar>
          <w:left w:w="30" w:type="dxa"/>
          <w:right w:w="30" w:type="dxa"/>
        </w:tblCellMar>
        <w:tblLook w:val="0000" w:firstRow="0" w:lastRow="0" w:firstColumn="0" w:lastColumn="0" w:noHBand="0" w:noVBand="0"/>
      </w:tblPr>
      <w:tblGrid>
        <w:gridCol w:w="3720"/>
        <w:gridCol w:w="2205"/>
        <w:gridCol w:w="2190"/>
        <w:gridCol w:w="2010"/>
      </w:tblGrid>
      <w:tr w:rsidR="00791BF8" w:rsidRPr="00791BF8" w:rsidTr="00791BF8">
        <w:trPr>
          <w:trHeight w:val="630"/>
        </w:trPr>
        <w:tc>
          <w:tcPr>
            <w:tcW w:w="10125" w:type="dxa"/>
            <w:gridSpan w:val="4"/>
            <w:tcBorders>
              <w:top w:val="double" w:sz="6" w:space="0" w:color="auto"/>
              <w:left w:val="double" w:sz="6" w:space="0" w:color="auto"/>
              <w:bottom w:val="nil"/>
              <w:right w:val="doub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Treasurer's Report  for June 9, 2014</w:t>
            </w:r>
          </w:p>
        </w:tc>
      </w:tr>
      <w:tr w:rsidR="00791BF8" w:rsidRPr="00791BF8" w:rsidTr="00791BF8">
        <w:trPr>
          <w:trHeight w:val="720"/>
        </w:trPr>
        <w:tc>
          <w:tcPr>
            <w:tcW w:w="3720" w:type="dxa"/>
            <w:tcBorders>
              <w:top w:val="single" w:sz="18" w:space="0" w:color="auto"/>
              <w:left w:val="doub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Account Description</w:t>
            </w:r>
          </w:p>
        </w:tc>
        <w:tc>
          <w:tcPr>
            <w:tcW w:w="2205" w:type="dxa"/>
            <w:tcBorders>
              <w:top w:val="single" w:sz="18" w:space="0" w:color="auto"/>
              <w:left w:val="nil"/>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Operating Account</w:t>
            </w:r>
          </w:p>
        </w:tc>
        <w:tc>
          <w:tcPr>
            <w:tcW w:w="2190" w:type="dxa"/>
            <w:tcBorders>
              <w:top w:val="single" w:sz="18" w:space="0" w:color="auto"/>
              <w:left w:val="sing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Reserve Account</w:t>
            </w:r>
          </w:p>
        </w:tc>
        <w:tc>
          <w:tcPr>
            <w:tcW w:w="2010" w:type="dxa"/>
            <w:tcBorders>
              <w:top w:val="single" w:sz="18" w:space="0" w:color="auto"/>
              <w:left w:val="single" w:sz="6" w:space="0" w:color="auto"/>
              <w:bottom w:val="single" w:sz="6" w:space="0" w:color="auto"/>
              <w:right w:val="doub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Totals</w:t>
            </w:r>
          </w:p>
        </w:tc>
      </w:tr>
      <w:tr w:rsidR="00791BF8" w:rsidRPr="00791BF8" w:rsidTr="00791BF8">
        <w:trPr>
          <w:trHeight w:val="510"/>
        </w:trPr>
        <w:tc>
          <w:tcPr>
            <w:tcW w:w="3720" w:type="dxa"/>
            <w:tcBorders>
              <w:top w:val="single" w:sz="6" w:space="0" w:color="auto"/>
              <w:left w:val="doub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color w:val="000000"/>
                <w:sz w:val="20"/>
                <w:szCs w:val="20"/>
              </w:rPr>
            </w:pPr>
            <w:r w:rsidRPr="00791BF8">
              <w:rPr>
                <w:rFonts w:asciiTheme="majorHAnsi" w:hAnsiTheme="majorHAnsi" w:cs="Arial"/>
                <w:color w:val="000000"/>
                <w:sz w:val="20"/>
                <w:szCs w:val="20"/>
              </w:rPr>
              <w:t xml:space="preserve">Operating Account, Union Bank </w:t>
            </w:r>
          </w:p>
        </w:tc>
        <w:tc>
          <w:tcPr>
            <w:tcW w:w="2205" w:type="dxa"/>
            <w:tcBorders>
              <w:top w:val="single" w:sz="6" w:space="0" w:color="auto"/>
              <w:left w:val="nil"/>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color w:val="000000"/>
                <w:sz w:val="20"/>
                <w:szCs w:val="20"/>
              </w:rPr>
            </w:pPr>
            <w:r w:rsidRPr="00791BF8">
              <w:rPr>
                <w:rFonts w:asciiTheme="majorHAnsi" w:hAnsiTheme="majorHAnsi" w:cs="Arial"/>
                <w:color w:val="000000"/>
                <w:sz w:val="20"/>
                <w:szCs w:val="20"/>
              </w:rPr>
              <w:t>17,534.99</w:t>
            </w:r>
          </w:p>
        </w:tc>
        <w:tc>
          <w:tcPr>
            <w:tcW w:w="2190" w:type="dxa"/>
            <w:tcBorders>
              <w:top w:val="single" w:sz="6" w:space="0" w:color="auto"/>
              <w:left w:val="sing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p>
        </w:tc>
        <w:tc>
          <w:tcPr>
            <w:tcW w:w="2010" w:type="dxa"/>
            <w:tcBorders>
              <w:top w:val="single" w:sz="6" w:space="0" w:color="auto"/>
              <w:left w:val="single" w:sz="6" w:space="0" w:color="auto"/>
              <w:bottom w:val="single" w:sz="6" w:space="0" w:color="auto"/>
              <w:right w:val="doub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r w:rsidRPr="00791BF8">
              <w:rPr>
                <w:rFonts w:asciiTheme="majorHAnsi" w:hAnsiTheme="majorHAnsi" w:cs="Arial"/>
                <w:color w:val="000000"/>
                <w:sz w:val="20"/>
                <w:szCs w:val="20"/>
              </w:rPr>
              <w:t>17,534.99</w:t>
            </w:r>
          </w:p>
        </w:tc>
      </w:tr>
      <w:tr w:rsidR="00791BF8" w:rsidRPr="00791BF8" w:rsidTr="00791BF8">
        <w:trPr>
          <w:trHeight w:val="465"/>
        </w:trPr>
        <w:tc>
          <w:tcPr>
            <w:tcW w:w="3720" w:type="dxa"/>
            <w:tcBorders>
              <w:top w:val="single" w:sz="6" w:space="0" w:color="auto"/>
              <w:left w:val="doub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color w:val="000000"/>
                <w:sz w:val="20"/>
                <w:szCs w:val="20"/>
              </w:rPr>
            </w:pPr>
            <w:r w:rsidRPr="00791BF8">
              <w:rPr>
                <w:rFonts w:asciiTheme="majorHAnsi" w:hAnsiTheme="majorHAnsi" w:cs="Arial"/>
                <w:color w:val="000000"/>
                <w:sz w:val="20"/>
                <w:szCs w:val="20"/>
              </w:rPr>
              <w:t>Reserve Account, Union Bank</w:t>
            </w:r>
          </w:p>
        </w:tc>
        <w:tc>
          <w:tcPr>
            <w:tcW w:w="2205" w:type="dxa"/>
            <w:tcBorders>
              <w:top w:val="single" w:sz="6" w:space="0" w:color="auto"/>
              <w:left w:val="nil"/>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color w:val="000000"/>
                <w:sz w:val="20"/>
                <w:szCs w:val="20"/>
              </w:rPr>
            </w:pPr>
          </w:p>
        </w:tc>
        <w:tc>
          <w:tcPr>
            <w:tcW w:w="2190" w:type="dxa"/>
            <w:tcBorders>
              <w:top w:val="single" w:sz="6" w:space="0" w:color="auto"/>
              <w:left w:val="sing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r w:rsidRPr="00791BF8">
              <w:rPr>
                <w:rFonts w:asciiTheme="majorHAnsi" w:hAnsiTheme="majorHAnsi" w:cs="Arial"/>
                <w:color w:val="000000"/>
                <w:sz w:val="20"/>
                <w:szCs w:val="20"/>
              </w:rPr>
              <w:t>191,113.13</w:t>
            </w:r>
          </w:p>
        </w:tc>
        <w:tc>
          <w:tcPr>
            <w:tcW w:w="2010" w:type="dxa"/>
            <w:tcBorders>
              <w:top w:val="single" w:sz="6" w:space="0" w:color="auto"/>
              <w:left w:val="single" w:sz="6" w:space="0" w:color="auto"/>
              <w:bottom w:val="single" w:sz="6" w:space="0" w:color="auto"/>
              <w:right w:val="doub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r w:rsidRPr="00791BF8">
              <w:rPr>
                <w:rFonts w:asciiTheme="majorHAnsi" w:hAnsiTheme="majorHAnsi" w:cs="Arial"/>
                <w:color w:val="000000"/>
                <w:sz w:val="20"/>
                <w:szCs w:val="20"/>
              </w:rPr>
              <w:t>191,113.13</w:t>
            </w:r>
          </w:p>
        </w:tc>
      </w:tr>
      <w:tr w:rsidR="00791BF8" w:rsidRPr="00791BF8" w:rsidTr="00791BF8">
        <w:trPr>
          <w:trHeight w:val="510"/>
        </w:trPr>
        <w:tc>
          <w:tcPr>
            <w:tcW w:w="3720" w:type="dxa"/>
            <w:tcBorders>
              <w:top w:val="single" w:sz="6" w:space="0" w:color="auto"/>
              <w:left w:val="doub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color w:val="000000"/>
                <w:sz w:val="20"/>
                <w:szCs w:val="20"/>
              </w:rPr>
            </w:pPr>
            <w:r w:rsidRPr="00791BF8">
              <w:rPr>
                <w:rFonts w:asciiTheme="majorHAnsi" w:hAnsiTheme="majorHAnsi" w:cs="Arial"/>
                <w:color w:val="000000"/>
                <w:sz w:val="20"/>
                <w:szCs w:val="20"/>
              </w:rPr>
              <w:t>Reserve Account, Certificate of Deposit</w:t>
            </w:r>
          </w:p>
        </w:tc>
        <w:tc>
          <w:tcPr>
            <w:tcW w:w="2205" w:type="dxa"/>
            <w:tcBorders>
              <w:top w:val="nil"/>
              <w:left w:val="nil"/>
              <w:bottom w:val="nil"/>
              <w:right w:val="nil"/>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p>
        </w:tc>
        <w:tc>
          <w:tcPr>
            <w:tcW w:w="2190" w:type="dxa"/>
            <w:tcBorders>
              <w:top w:val="single" w:sz="6" w:space="0" w:color="auto"/>
              <w:left w:val="single" w:sz="6" w:space="0" w:color="auto"/>
              <w:bottom w:val="single" w:sz="6" w:space="0" w:color="auto"/>
              <w:right w:val="sing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r w:rsidRPr="00791BF8">
              <w:rPr>
                <w:rFonts w:asciiTheme="majorHAnsi" w:hAnsiTheme="majorHAnsi" w:cs="Arial"/>
                <w:color w:val="000000"/>
                <w:sz w:val="20"/>
                <w:szCs w:val="20"/>
              </w:rPr>
              <w:t>65,603.62</w:t>
            </w:r>
          </w:p>
        </w:tc>
        <w:tc>
          <w:tcPr>
            <w:tcW w:w="2010" w:type="dxa"/>
            <w:tcBorders>
              <w:top w:val="single" w:sz="6" w:space="0" w:color="auto"/>
              <w:left w:val="single" w:sz="6" w:space="0" w:color="auto"/>
              <w:bottom w:val="single" w:sz="6" w:space="0" w:color="auto"/>
              <w:right w:val="doub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color w:val="000000"/>
                <w:sz w:val="20"/>
                <w:szCs w:val="20"/>
              </w:rPr>
            </w:pPr>
            <w:r w:rsidRPr="00791BF8">
              <w:rPr>
                <w:rFonts w:asciiTheme="majorHAnsi" w:hAnsiTheme="majorHAnsi" w:cs="Arial"/>
                <w:color w:val="000000"/>
                <w:sz w:val="20"/>
                <w:szCs w:val="20"/>
              </w:rPr>
              <w:t>65,603.62</w:t>
            </w:r>
          </w:p>
        </w:tc>
      </w:tr>
      <w:tr w:rsidR="00791BF8" w:rsidRPr="00791BF8" w:rsidTr="00791BF8">
        <w:trPr>
          <w:trHeight w:val="555"/>
        </w:trPr>
        <w:tc>
          <w:tcPr>
            <w:tcW w:w="3720" w:type="dxa"/>
            <w:tcBorders>
              <w:top w:val="single" w:sz="6" w:space="0" w:color="auto"/>
              <w:left w:val="double" w:sz="6" w:space="0" w:color="auto"/>
              <w:bottom w:val="double" w:sz="6" w:space="0" w:color="auto"/>
              <w:right w:val="nil"/>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lastRenderedPageBreak/>
              <w:t>Totals:</w:t>
            </w:r>
          </w:p>
        </w:tc>
        <w:tc>
          <w:tcPr>
            <w:tcW w:w="2205" w:type="dxa"/>
            <w:tcBorders>
              <w:top w:val="single" w:sz="6" w:space="0" w:color="auto"/>
              <w:left w:val="nil"/>
              <w:bottom w:val="double" w:sz="6" w:space="0" w:color="auto"/>
              <w:right w:val="nil"/>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$17,534.99</w:t>
            </w:r>
          </w:p>
        </w:tc>
        <w:tc>
          <w:tcPr>
            <w:tcW w:w="2190" w:type="dxa"/>
            <w:tcBorders>
              <w:top w:val="single" w:sz="6" w:space="0" w:color="auto"/>
              <w:left w:val="nil"/>
              <w:bottom w:val="double" w:sz="6" w:space="0" w:color="auto"/>
              <w:right w:val="sing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b/>
                <w:bCs/>
                <w:color w:val="000000"/>
                <w:sz w:val="20"/>
                <w:szCs w:val="20"/>
              </w:rPr>
            </w:pPr>
            <w:r w:rsidRPr="00791BF8">
              <w:rPr>
                <w:rFonts w:asciiTheme="majorHAnsi" w:hAnsiTheme="majorHAnsi" w:cs="Arial"/>
                <w:b/>
                <w:bCs/>
                <w:color w:val="000000"/>
                <w:sz w:val="20"/>
                <w:szCs w:val="20"/>
              </w:rPr>
              <w:t>$256,716.75</w:t>
            </w:r>
          </w:p>
        </w:tc>
        <w:tc>
          <w:tcPr>
            <w:tcW w:w="2010" w:type="dxa"/>
            <w:tcBorders>
              <w:top w:val="single" w:sz="6" w:space="0" w:color="auto"/>
              <w:left w:val="single" w:sz="6" w:space="0" w:color="auto"/>
              <w:bottom w:val="double" w:sz="6" w:space="0" w:color="auto"/>
              <w:right w:val="double" w:sz="6" w:space="0" w:color="auto"/>
            </w:tcBorders>
          </w:tcPr>
          <w:p w:rsidR="00791BF8" w:rsidRPr="00791BF8" w:rsidRDefault="00791BF8">
            <w:pPr>
              <w:autoSpaceDE w:val="0"/>
              <w:autoSpaceDN w:val="0"/>
              <w:adjustRightInd w:val="0"/>
              <w:spacing w:after="0" w:line="240" w:lineRule="auto"/>
              <w:jc w:val="right"/>
              <w:rPr>
                <w:rFonts w:asciiTheme="majorHAnsi" w:hAnsiTheme="majorHAnsi" w:cs="Arial"/>
                <w:b/>
                <w:bCs/>
                <w:color w:val="000000"/>
                <w:sz w:val="20"/>
                <w:szCs w:val="20"/>
              </w:rPr>
            </w:pPr>
            <w:r w:rsidRPr="00791BF8">
              <w:rPr>
                <w:rFonts w:asciiTheme="majorHAnsi" w:hAnsiTheme="majorHAnsi" w:cs="Arial"/>
                <w:b/>
                <w:bCs/>
                <w:color w:val="000000"/>
                <w:sz w:val="20"/>
                <w:szCs w:val="20"/>
              </w:rPr>
              <w:t>$274,251.74</w:t>
            </w:r>
          </w:p>
        </w:tc>
      </w:tr>
      <w:tr w:rsidR="00791BF8" w:rsidRPr="00791BF8" w:rsidTr="00791BF8">
        <w:trPr>
          <w:trHeight w:val="645"/>
        </w:trPr>
        <w:tc>
          <w:tcPr>
            <w:tcW w:w="10125" w:type="dxa"/>
            <w:gridSpan w:val="4"/>
            <w:tcBorders>
              <w:top w:val="double" w:sz="6" w:space="0" w:color="auto"/>
              <w:left w:val="double" w:sz="6" w:space="0" w:color="auto"/>
              <w:bottom w:val="nil"/>
              <w:right w:val="doub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Late Dues as of June 9, 2014</w:t>
            </w:r>
          </w:p>
        </w:tc>
      </w:tr>
      <w:tr w:rsidR="00791BF8" w:rsidRPr="00791BF8" w:rsidTr="00791BF8">
        <w:trPr>
          <w:trHeight w:val="423"/>
        </w:trPr>
        <w:tc>
          <w:tcPr>
            <w:tcW w:w="3720" w:type="dxa"/>
            <w:tcBorders>
              <w:top w:val="single" w:sz="18" w:space="0" w:color="auto"/>
              <w:left w:val="double" w:sz="6" w:space="0" w:color="auto"/>
              <w:bottom w:val="single" w:sz="18"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Number of late homeowners</w:t>
            </w:r>
          </w:p>
        </w:tc>
        <w:tc>
          <w:tcPr>
            <w:tcW w:w="2205" w:type="dxa"/>
            <w:tcBorders>
              <w:top w:val="single" w:sz="18" w:space="0" w:color="auto"/>
              <w:left w:val="nil"/>
              <w:bottom w:val="single" w:sz="18"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p>
        </w:tc>
        <w:tc>
          <w:tcPr>
            <w:tcW w:w="2190" w:type="dxa"/>
            <w:tcBorders>
              <w:top w:val="single" w:sz="18" w:space="0" w:color="auto"/>
              <w:left w:val="single" w:sz="6" w:space="0" w:color="auto"/>
              <w:bottom w:val="single" w:sz="18" w:space="0" w:color="auto"/>
              <w:right w:val="sing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r w:rsidRPr="00791BF8">
              <w:rPr>
                <w:rFonts w:asciiTheme="majorHAnsi" w:hAnsiTheme="majorHAnsi" w:cs="Arial"/>
                <w:b/>
                <w:bCs/>
                <w:color w:val="000000"/>
                <w:sz w:val="20"/>
                <w:szCs w:val="20"/>
              </w:rPr>
              <w:t>2</w:t>
            </w:r>
          </w:p>
        </w:tc>
        <w:tc>
          <w:tcPr>
            <w:tcW w:w="2010" w:type="dxa"/>
            <w:tcBorders>
              <w:top w:val="single" w:sz="18" w:space="0" w:color="auto"/>
              <w:left w:val="single" w:sz="6" w:space="0" w:color="auto"/>
              <w:bottom w:val="single" w:sz="18" w:space="0" w:color="auto"/>
              <w:right w:val="double" w:sz="6" w:space="0" w:color="auto"/>
            </w:tcBorders>
          </w:tcPr>
          <w:p w:rsidR="00791BF8" w:rsidRPr="00791BF8" w:rsidRDefault="00791BF8">
            <w:pPr>
              <w:autoSpaceDE w:val="0"/>
              <w:autoSpaceDN w:val="0"/>
              <w:adjustRightInd w:val="0"/>
              <w:spacing w:after="0" w:line="240" w:lineRule="auto"/>
              <w:jc w:val="center"/>
              <w:rPr>
                <w:rFonts w:asciiTheme="majorHAnsi" w:hAnsiTheme="majorHAnsi" w:cs="Arial"/>
                <w:b/>
                <w:bCs/>
                <w:color w:val="000000"/>
                <w:sz w:val="20"/>
                <w:szCs w:val="20"/>
              </w:rPr>
            </w:pPr>
          </w:p>
        </w:tc>
      </w:tr>
    </w:tbl>
    <w:p w:rsidR="00791BF8" w:rsidRPr="00791BF8" w:rsidRDefault="00791BF8" w:rsidP="00DF67EE">
      <w:pPr>
        <w:spacing w:after="0" w:line="240" w:lineRule="auto"/>
        <w:rPr>
          <w:rFonts w:asciiTheme="majorHAnsi" w:eastAsia="Arial" w:hAnsiTheme="majorHAnsi" w:cs="Arial"/>
          <w:b/>
          <w:position w:val="-1"/>
        </w:rPr>
      </w:pPr>
    </w:p>
    <w:p w:rsidR="00791BF8" w:rsidRDefault="00791BF8" w:rsidP="00DF67EE">
      <w:pPr>
        <w:spacing w:after="0" w:line="240" w:lineRule="auto"/>
        <w:rPr>
          <w:b/>
        </w:rPr>
      </w:pPr>
    </w:p>
    <w:p w:rsidR="00791BF8" w:rsidRDefault="00791BF8" w:rsidP="00DF67EE">
      <w:pPr>
        <w:spacing w:after="0" w:line="240" w:lineRule="auto"/>
        <w:rPr>
          <w:b/>
        </w:rPr>
      </w:pPr>
    </w:p>
    <w:p w:rsidR="0061168B" w:rsidRDefault="0061168B" w:rsidP="00DF67EE">
      <w:pPr>
        <w:spacing w:after="0" w:line="240" w:lineRule="auto"/>
      </w:pPr>
      <w:r>
        <w:rPr>
          <w:b/>
        </w:rPr>
        <w:t xml:space="preserve">Landscape </w:t>
      </w:r>
      <w:r w:rsidR="00791BF8">
        <w:rPr>
          <w:b/>
        </w:rPr>
        <w:t xml:space="preserve">and Personal </w:t>
      </w:r>
      <w:r>
        <w:rPr>
          <w:b/>
        </w:rPr>
        <w:t xml:space="preserve">Water Use: </w:t>
      </w:r>
      <w:r w:rsidR="00791BF8">
        <w:rPr>
          <w:b/>
        </w:rPr>
        <w:t xml:space="preserve"> </w:t>
      </w:r>
      <w:r w:rsidR="00791BF8" w:rsidRPr="00791BF8">
        <w:t>Attached</w:t>
      </w:r>
      <w:r w:rsidR="00791BF8">
        <w:t xml:space="preserve"> is the water use report as of end of May for the neighborhood to review.  California is experiencing a serious drought and we ask each homeowner to conserve personal water use as much as possible.  Visit the East Bay MUD website for water conservation suggestions.  Steve Willoughby suggested the HOA purchase and distribute from East Bay MUD toilet tablets homeowners can drop in their toilets to detect any possible leaks.  He has offered to obtain the tablets and distribute them. So be on the lookout.</w:t>
      </w:r>
    </w:p>
    <w:p w:rsidR="00791BF8" w:rsidRDefault="00791BF8" w:rsidP="00DF67EE">
      <w:pPr>
        <w:spacing w:after="0" w:line="240" w:lineRule="auto"/>
      </w:pPr>
    </w:p>
    <w:p w:rsidR="00791BF8" w:rsidRPr="0061168B" w:rsidRDefault="00791BF8" w:rsidP="00DF67EE">
      <w:pPr>
        <w:spacing w:after="0" w:line="240" w:lineRule="auto"/>
      </w:pPr>
      <w:r>
        <w:t xml:space="preserve">About 50% of our water is used for landscape purposes.  Steve will speak with Trimacs to reduce the water usage as much as possible without risking dying plants and potential dead brush which could cause alternate problems. </w:t>
      </w:r>
    </w:p>
    <w:p w:rsidR="0061168B" w:rsidRDefault="0061168B" w:rsidP="00DF67EE">
      <w:pPr>
        <w:spacing w:after="0" w:line="240" w:lineRule="auto"/>
        <w:rPr>
          <w:b/>
        </w:rPr>
      </w:pPr>
    </w:p>
    <w:p w:rsidR="00CA1419" w:rsidRDefault="000B68ED" w:rsidP="00DF67EE">
      <w:pPr>
        <w:spacing w:after="0" w:line="240" w:lineRule="auto"/>
      </w:pPr>
      <w:r>
        <w:rPr>
          <w:b/>
        </w:rPr>
        <w:t xml:space="preserve">Sewer Laterals: </w:t>
      </w:r>
      <w:r>
        <w:t xml:space="preserve"> </w:t>
      </w:r>
      <w:r w:rsidR="006A417F">
        <w:t xml:space="preserve">Video camera inspections </w:t>
      </w:r>
      <w:r w:rsidR="00CA1419">
        <w:t xml:space="preserve">have been completed.  The </w:t>
      </w:r>
      <w:r w:rsidR="00C1151C">
        <w:t xml:space="preserve">written </w:t>
      </w:r>
      <w:r w:rsidR="00CA1419">
        <w:t>report</w:t>
      </w:r>
      <w:r w:rsidR="00C1151C">
        <w:t xml:space="preserve"> was received</w:t>
      </w:r>
      <w:r w:rsidR="00CA1419">
        <w:t>.</w:t>
      </w:r>
      <w:r w:rsidR="00C1151C">
        <w:t xml:space="preserve">  Steve Willoughby will contact Ortiz Construction, Inc. for further clarific</w:t>
      </w:r>
      <w:r w:rsidR="005E0B8E">
        <w:t xml:space="preserve">ation and determine next steps, including estimates from other companies.  The HOA has until 2020 to be in compliance with the State requirements.  </w:t>
      </w:r>
    </w:p>
    <w:p w:rsidR="005E0B8E" w:rsidRDefault="005E0B8E" w:rsidP="00DF67EE">
      <w:pPr>
        <w:spacing w:after="0" w:line="240" w:lineRule="auto"/>
      </w:pPr>
    </w:p>
    <w:p w:rsidR="005E0B8E" w:rsidRDefault="005E0B8E" w:rsidP="00DF67EE">
      <w:pPr>
        <w:spacing w:after="0" w:line="240" w:lineRule="auto"/>
      </w:pPr>
      <w:r w:rsidRPr="005E0B8E">
        <w:rPr>
          <w:b/>
        </w:rPr>
        <w:t xml:space="preserve">Landscape: </w:t>
      </w:r>
      <w:r>
        <w:rPr>
          <w:b/>
        </w:rPr>
        <w:t xml:space="preserve"> </w:t>
      </w:r>
      <w:r>
        <w:t xml:space="preserve">The board reviewed two bids to remove the overgrown bushes between units # 1 and # 3.  </w:t>
      </w:r>
    </w:p>
    <w:p w:rsidR="005E0B8E" w:rsidRDefault="005E0B8E" w:rsidP="00DF67EE">
      <w:pPr>
        <w:spacing w:after="0" w:line="240" w:lineRule="auto"/>
      </w:pPr>
      <w:r>
        <w:t xml:space="preserve">After discussion and deliberation, a bid was selected by majority vote.  The board authorized the work to be done immediately.  </w:t>
      </w:r>
    </w:p>
    <w:p w:rsidR="005E0B8E" w:rsidRDefault="005E0B8E" w:rsidP="00DF67EE">
      <w:pPr>
        <w:spacing w:after="0" w:line="240" w:lineRule="auto"/>
      </w:pPr>
    </w:p>
    <w:p w:rsidR="005E0B8E" w:rsidRPr="005E0B8E" w:rsidRDefault="005E0B8E" w:rsidP="00DF67EE">
      <w:pPr>
        <w:spacing w:after="0" w:line="240" w:lineRule="auto"/>
        <w:rPr>
          <w:b/>
        </w:rPr>
      </w:pPr>
      <w:r w:rsidRPr="005E0B8E">
        <w:rPr>
          <w:b/>
        </w:rPr>
        <w:t xml:space="preserve">National Night Out: </w:t>
      </w:r>
      <w:r>
        <w:rPr>
          <w:b/>
        </w:rPr>
        <w:t xml:space="preserve"> </w:t>
      </w:r>
      <w:r w:rsidRPr="005E0B8E">
        <w:t>Tuesday, August 5 is National</w:t>
      </w:r>
      <w:r>
        <w:t xml:space="preserve"> Night Out.  Evan and Carole are organizing the evening of savory and sweet appetizers, drinks and a raffle to be held on the rim.  Please put the date on your calendar and plan to attend.  It’s an annual event to bring all of our neighbors together for fun and good cheer. </w:t>
      </w:r>
    </w:p>
    <w:p w:rsidR="005E0B8E" w:rsidRDefault="005E0B8E" w:rsidP="00F6755B">
      <w:pPr>
        <w:spacing w:after="0" w:line="240" w:lineRule="auto"/>
        <w:rPr>
          <w:b/>
        </w:rPr>
      </w:pPr>
    </w:p>
    <w:p w:rsidR="005E0B8E" w:rsidRPr="005E0B8E" w:rsidRDefault="005E0B8E" w:rsidP="00F6755B">
      <w:pPr>
        <w:spacing w:after="0" w:line="240" w:lineRule="auto"/>
      </w:pPr>
      <w:r>
        <w:rPr>
          <w:b/>
        </w:rPr>
        <w:t xml:space="preserve">New Roster: </w:t>
      </w:r>
      <w:r>
        <w:t xml:space="preserve"> Please note the revised roster which includes some corrections from the former roster and includes our new neighbor Marlow Schlindler.  Please toss/delete the older versions. </w:t>
      </w:r>
    </w:p>
    <w:p w:rsidR="005E0B8E" w:rsidRDefault="005E0B8E" w:rsidP="00F6755B">
      <w:pPr>
        <w:spacing w:after="0" w:line="240" w:lineRule="auto"/>
        <w:rPr>
          <w:b/>
        </w:rPr>
      </w:pPr>
    </w:p>
    <w:p w:rsidR="00CA1419" w:rsidRDefault="00CA1419" w:rsidP="00F6755B">
      <w:pPr>
        <w:spacing w:after="0" w:line="240" w:lineRule="auto"/>
      </w:pPr>
      <w:r>
        <w:rPr>
          <w:b/>
        </w:rPr>
        <w:t xml:space="preserve">Next </w:t>
      </w:r>
      <w:r w:rsidR="008C5ECC" w:rsidRPr="008C5ECC">
        <w:rPr>
          <w:b/>
        </w:rPr>
        <w:t xml:space="preserve">board meeting:  </w:t>
      </w:r>
      <w:r w:rsidRPr="00CA1419">
        <w:t>Is scheduled for Monday,</w:t>
      </w:r>
      <w:r w:rsidR="005E0B8E">
        <w:t xml:space="preserve"> July 14</w:t>
      </w:r>
      <w:r w:rsidR="00E03545">
        <w:t xml:space="preserve"> </w:t>
      </w:r>
      <w:r w:rsidRPr="00CA1419">
        <w:t>at 7:00 pm</w:t>
      </w:r>
      <w:r>
        <w:rPr>
          <w:b/>
        </w:rPr>
        <w:t xml:space="preserve"> </w:t>
      </w:r>
      <w:r w:rsidR="00F6755B">
        <w:t>at the Highlands Country Club</w:t>
      </w:r>
      <w:r>
        <w:t xml:space="preserve">. </w:t>
      </w:r>
      <w:r w:rsidR="00F6755B">
        <w:t xml:space="preserve"> </w:t>
      </w:r>
    </w:p>
    <w:p w:rsidR="00F6755B" w:rsidRDefault="00F6755B" w:rsidP="00F6755B">
      <w:pPr>
        <w:spacing w:after="0" w:line="240" w:lineRule="auto"/>
        <w:rPr>
          <w:b/>
        </w:rPr>
      </w:pPr>
    </w:p>
    <w:p w:rsidR="00DE5F55" w:rsidRDefault="00E03545" w:rsidP="00154362">
      <w:pPr>
        <w:spacing w:after="0" w:line="240" w:lineRule="auto"/>
      </w:pPr>
      <w:r>
        <w:t>Meeting adjourned.</w:t>
      </w:r>
    </w:p>
    <w:p w:rsidR="00B52A84" w:rsidRDefault="00B52A84" w:rsidP="00154362">
      <w:pPr>
        <w:spacing w:after="0" w:line="240" w:lineRule="auto"/>
      </w:pPr>
    </w:p>
    <w:p w:rsidR="00AD36D8" w:rsidRDefault="00DE5F55" w:rsidP="00154362">
      <w:pPr>
        <w:spacing w:after="0" w:line="240" w:lineRule="auto"/>
      </w:pPr>
      <w:r>
        <w:t>Respectfully submitted,</w:t>
      </w:r>
    </w:p>
    <w:p w:rsidR="00C1151C" w:rsidRDefault="00C1151C" w:rsidP="00154362">
      <w:pPr>
        <w:spacing w:after="0" w:line="240" w:lineRule="auto"/>
      </w:pPr>
    </w:p>
    <w:p w:rsidR="002F6DDF" w:rsidRDefault="002F6DDF" w:rsidP="00154362">
      <w:pPr>
        <w:spacing w:after="0" w:line="240" w:lineRule="auto"/>
      </w:pPr>
      <w:r>
        <w:t>Carole Anderson, Secretary</w:t>
      </w:r>
    </w:p>
    <w:sectPr w:rsidR="002F6DDF"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E9" w:rsidRDefault="00B45AE9" w:rsidP="00954801">
      <w:pPr>
        <w:spacing w:after="0" w:line="240" w:lineRule="auto"/>
      </w:pPr>
      <w:r>
        <w:separator/>
      </w:r>
    </w:p>
  </w:endnote>
  <w:endnote w:type="continuationSeparator" w:id="0">
    <w:p w:rsidR="00B45AE9" w:rsidRDefault="00B45AE9"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8929D6">
      <w:rPr>
        <w:noProof/>
      </w:rPr>
      <w:t>1</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E9" w:rsidRDefault="00B45AE9" w:rsidP="00954801">
      <w:pPr>
        <w:spacing w:after="0" w:line="240" w:lineRule="auto"/>
      </w:pPr>
      <w:r>
        <w:separator/>
      </w:r>
    </w:p>
  </w:footnote>
  <w:footnote w:type="continuationSeparator" w:id="0">
    <w:p w:rsidR="00B45AE9" w:rsidRDefault="00B45AE9"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B68ED"/>
    <w:rsid w:val="000E6C1F"/>
    <w:rsid w:val="0011338C"/>
    <w:rsid w:val="00134C09"/>
    <w:rsid w:val="00140477"/>
    <w:rsid w:val="001469B8"/>
    <w:rsid w:val="00152368"/>
    <w:rsid w:val="00154362"/>
    <w:rsid w:val="001C15BB"/>
    <w:rsid w:val="001F5FF8"/>
    <w:rsid w:val="002113C6"/>
    <w:rsid w:val="00217804"/>
    <w:rsid w:val="002431AB"/>
    <w:rsid w:val="0028217C"/>
    <w:rsid w:val="002E3EDB"/>
    <w:rsid w:val="002F6DDF"/>
    <w:rsid w:val="00304294"/>
    <w:rsid w:val="003726C7"/>
    <w:rsid w:val="003B0192"/>
    <w:rsid w:val="003C4E4A"/>
    <w:rsid w:val="003D390C"/>
    <w:rsid w:val="003F7D59"/>
    <w:rsid w:val="004260D4"/>
    <w:rsid w:val="004513E4"/>
    <w:rsid w:val="00454700"/>
    <w:rsid w:val="004B1D8A"/>
    <w:rsid w:val="004D38DC"/>
    <w:rsid w:val="004F309A"/>
    <w:rsid w:val="00567683"/>
    <w:rsid w:val="005B7E6D"/>
    <w:rsid w:val="005D4174"/>
    <w:rsid w:val="005E0B8E"/>
    <w:rsid w:val="005E4A73"/>
    <w:rsid w:val="00600F4C"/>
    <w:rsid w:val="0061168B"/>
    <w:rsid w:val="00617FC1"/>
    <w:rsid w:val="0063606E"/>
    <w:rsid w:val="00636F42"/>
    <w:rsid w:val="00652753"/>
    <w:rsid w:val="00657CAF"/>
    <w:rsid w:val="00662B31"/>
    <w:rsid w:val="00670C8C"/>
    <w:rsid w:val="00690BB4"/>
    <w:rsid w:val="00695276"/>
    <w:rsid w:val="006A417F"/>
    <w:rsid w:val="006C2732"/>
    <w:rsid w:val="006D6E32"/>
    <w:rsid w:val="00711B2C"/>
    <w:rsid w:val="00725FB5"/>
    <w:rsid w:val="007324A6"/>
    <w:rsid w:val="007835DD"/>
    <w:rsid w:val="00791BF8"/>
    <w:rsid w:val="007A3DC2"/>
    <w:rsid w:val="007B544F"/>
    <w:rsid w:val="007C2B9D"/>
    <w:rsid w:val="007D5E69"/>
    <w:rsid w:val="0080579B"/>
    <w:rsid w:val="00825C59"/>
    <w:rsid w:val="00843018"/>
    <w:rsid w:val="00855997"/>
    <w:rsid w:val="00886A7F"/>
    <w:rsid w:val="00891EC0"/>
    <w:rsid w:val="008929D6"/>
    <w:rsid w:val="008C5ECC"/>
    <w:rsid w:val="00954801"/>
    <w:rsid w:val="00955F21"/>
    <w:rsid w:val="00987D3F"/>
    <w:rsid w:val="0099768E"/>
    <w:rsid w:val="009B69BD"/>
    <w:rsid w:val="00A07B68"/>
    <w:rsid w:val="00A07E9C"/>
    <w:rsid w:val="00A479F7"/>
    <w:rsid w:val="00AB43C7"/>
    <w:rsid w:val="00AC7061"/>
    <w:rsid w:val="00AD298B"/>
    <w:rsid w:val="00AD36D8"/>
    <w:rsid w:val="00B1620B"/>
    <w:rsid w:val="00B227AA"/>
    <w:rsid w:val="00B26F56"/>
    <w:rsid w:val="00B45AE9"/>
    <w:rsid w:val="00B52A84"/>
    <w:rsid w:val="00B835F7"/>
    <w:rsid w:val="00B94D73"/>
    <w:rsid w:val="00BA02E8"/>
    <w:rsid w:val="00BA1686"/>
    <w:rsid w:val="00BA526C"/>
    <w:rsid w:val="00BA6E38"/>
    <w:rsid w:val="00BE5139"/>
    <w:rsid w:val="00BE5EE4"/>
    <w:rsid w:val="00C01663"/>
    <w:rsid w:val="00C063B2"/>
    <w:rsid w:val="00C1151C"/>
    <w:rsid w:val="00C404F3"/>
    <w:rsid w:val="00C52359"/>
    <w:rsid w:val="00C77F8D"/>
    <w:rsid w:val="00C96722"/>
    <w:rsid w:val="00CA1419"/>
    <w:rsid w:val="00CB400E"/>
    <w:rsid w:val="00CB4538"/>
    <w:rsid w:val="00CC65C8"/>
    <w:rsid w:val="00CD3B04"/>
    <w:rsid w:val="00CE23A1"/>
    <w:rsid w:val="00CE5CB0"/>
    <w:rsid w:val="00D12FC9"/>
    <w:rsid w:val="00D14194"/>
    <w:rsid w:val="00D31295"/>
    <w:rsid w:val="00D41BFD"/>
    <w:rsid w:val="00D55E14"/>
    <w:rsid w:val="00D63B00"/>
    <w:rsid w:val="00D900A3"/>
    <w:rsid w:val="00D90FC0"/>
    <w:rsid w:val="00D94202"/>
    <w:rsid w:val="00DE5F55"/>
    <w:rsid w:val="00DF67EE"/>
    <w:rsid w:val="00E0239A"/>
    <w:rsid w:val="00E03545"/>
    <w:rsid w:val="00E32470"/>
    <w:rsid w:val="00E35CCE"/>
    <w:rsid w:val="00E576B2"/>
    <w:rsid w:val="00E61FF9"/>
    <w:rsid w:val="00E63FA7"/>
    <w:rsid w:val="00EB04CC"/>
    <w:rsid w:val="00F547C1"/>
    <w:rsid w:val="00F6755B"/>
    <w:rsid w:val="00F83DE3"/>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4</cp:revision>
  <cp:lastPrinted>2013-08-22T21:43:00Z</cp:lastPrinted>
  <dcterms:created xsi:type="dcterms:W3CDTF">2014-06-23T18:33:00Z</dcterms:created>
  <dcterms:modified xsi:type="dcterms:W3CDTF">2014-06-24T17:05:00Z</dcterms:modified>
</cp:coreProperties>
</file>